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924753" w14:paraId="38B9CF1D" w14:textId="77777777">
      <w:pPr>
        <w:pStyle w:val="BodyText"/>
        <w:rPr>
          <w:sz w:val="20"/>
        </w:rPr>
      </w:pPr>
    </w:p>
    <w:p w:rsidR="00924753" w14:paraId="4B4B5BA2" w14:textId="77777777">
      <w:pPr>
        <w:pStyle w:val="BodyText"/>
        <w:rPr>
          <w:sz w:val="20"/>
        </w:rPr>
      </w:pPr>
    </w:p>
    <w:p w:rsidR="00924753" w14:paraId="2507365C" w14:textId="77777777">
      <w:pPr>
        <w:pStyle w:val="BodyText"/>
        <w:spacing w:before="2"/>
        <w:rPr>
          <w:sz w:val="26"/>
        </w:rPr>
      </w:pPr>
    </w:p>
    <w:p w:rsidR="00924753" w14:paraId="20BD3F77" w14:textId="77777777">
      <w:pPr>
        <w:rPr>
          <w:sz w:val="26"/>
        </w:rPr>
        <w:sectPr>
          <w:footerReference w:type="default" r:id="rId4"/>
          <w:type w:val="continuous"/>
          <w:pgSz w:w="11910" w:h="16840"/>
          <w:pgMar w:top="660" w:right="620" w:bottom="960" w:left="1420" w:header="0" w:footer="775" w:gutter="0"/>
          <w:pgNumType w:start="1"/>
          <w:cols w:space="720"/>
        </w:sectPr>
      </w:pPr>
    </w:p>
    <w:p w:rsidR="00924753" w:rsidRPr="00EA6E2F" w14:paraId="17387C1E" w14:textId="77777777">
      <w:pPr>
        <w:spacing w:before="92"/>
        <w:ind w:left="169"/>
        <w:rPr>
          <w:rFonts w:ascii="Arial"/>
          <w:b/>
          <w:sz w:val="24"/>
          <w:lang w:val="sv-SE"/>
        </w:rPr>
      </w:pPr>
      <w:r>
        <w:pict>
          <v:shapetype id="_x0000_t202" coordsize="21600,21600" o:spt="202" path="m,l,21600r21600,l21600,xe">
            <v:stroke joinstyle="miter"/>
            <v:path gradientshapeok="t" o:connecttype="rect"/>
          </v:shapetype>
          <v:shape id="docshape2" o:spid="_x0000_s1025" type="#_x0000_t202" style="width:347.7pt;height:29.8pt;margin-top:57.6pt;margin-left:76.95pt;mso-position-horizontal-relative:page;position:absolute;z-index:251659264" filled="f" stroked="f">
            <v:textbox inset="0,0,0,0">
              <w:txbxContent>
                <w:tbl>
                  <w:tblPr>
                    <w:tblW w:w="0" w:type="auto"/>
                    <w:tblInd w:w="7" w:type="dxa"/>
                    <w:tblLayout w:type="fixed"/>
                    <w:tblCellMar>
                      <w:left w:w="0" w:type="dxa"/>
                      <w:right w:w="0" w:type="dxa"/>
                    </w:tblCellMar>
                    <w:tblLook w:val="01E0"/>
                  </w:tblPr>
                  <w:tblGrid>
                    <w:gridCol w:w="1161"/>
                    <w:gridCol w:w="2953"/>
                    <w:gridCol w:w="1762"/>
                    <w:gridCol w:w="1079"/>
                  </w:tblGrid>
                  <w:tr w14:paraId="3181CA26" w14:textId="77777777">
                    <w:tblPrEx>
                      <w:tblW w:w="0" w:type="auto"/>
                      <w:tblInd w:w="7" w:type="dxa"/>
                      <w:tblLayout w:type="fixed"/>
                      <w:tblCellMar>
                        <w:left w:w="0" w:type="dxa"/>
                        <w:right w:w="0" w:type="dxa"/>
                      </w:tblCellMar>
                      <w:tblLook w:val="01E0"/>
                    </w:tblPrEx>
                    <w:trPr>
                      <w:trHeight w:val="298"/>
                    </w:trPr>
                    <w:tc>
                      <w:tcPr>
                        <w:tcW w:w="1161" w:type="dxa"/>
                      </w:tcPr>
                      <w:p w:rsidR="00924753" w14:paraId="67C60A5B" w14:textId="77777777">
                        <w:pPr>
                          <w:pStyle w:val="TableParagraph"/>
                          <w:ind w:left="50"/>
                          <w:rPr>
                            <w:sz w:val="24"/>
                          </w:rPr>
                        </w:pPr>
                        <w:r>
                          <w:rPr>
                            <w:sz w:val="24"/>
                          </w:rPr>
                          <w:t>Date</w:t>
                        </w:r>
                      </w:p>
                    </w:tc>
                    <w:tc>
                      <w:tcPr>
                        <w:tcW w:w="2953" w:type="dxa"/>
                      </w:tcPr>
                      <w:p w:rsidR="00924753" w14:paraId="33882066" w14:textId="77777777">
                        <w:pPr>
                          <w:pStyle w:val="TableParagraph"/>
                          <w:ind w:left="165"/>
                          <w:rPr>
                            <w:sz w:val="24"/>
                          </w:rPr>
                        </w:pPr>
                        <w:r>
                          <w:rPr>
                            <w:sz w:val="24"/>
                          </w:rPr>
                          <w:t>2023-08-21</w:t>
                        </w:r>
                      </w:p>
                    </w:tc>
                    <w:tc>
                      <w:tcPr>
                        <w:tcW w:w="1762" w:type="dxa"/>
                      </w:tcPr>
                      <w:p w:rsidR="00924753" w14:paraId="084FACA5" w14:textId="77777777">
                        <w:pPr>
                          <w:pStyle w:val="TableParagraph"/>
                          <w:ind w:left="1039"/>
                          <w:rPr>
                            <w:sz w:val="24"/>
                          </w:rPr>
                        </w:pPr>
                        <w:r>
                          <w:rPr>
                            <w:sz w:val="24"/>
                          </w:rPr>
                          <w:t>FI Ref.</w:t>
                        </w:r>
                      </w:p>
                    </w:tc>
                    <w:tc>
                      <w:tcPr>
                        <w:tcW w:w="1079" w:type="dxa"/>
                      </w:tcPr>
                      <w:p w:rsidR="00924753" w14:paraId="739EE345" w14:textId="77777777">
                        <w:pPr>
                          <w:pStyle w:val="TableParagraph"/>
                          <w:ind w:left="129"/>
                          <w:rPr>
                            <w:sz w:val="24"/>
                          </w:rPr>
                        </w:pPr>
                        <w:r>
                          <w:rPr>
                            <w:color w:val="808080"/>
                            <w:sz w:val="24"/>
                          </w:rPr>
                          <w:t>Specify ref. no.</w:t>
                        </w:r>
                      </w:p>
                    </w:tc>
                  </w:tr>
                  <w:tr w14:paraId="2FF03708" w14:textId="77777777">
                    <w:tblPrEx>
                      <w:tblW w:w="0" w:type="auto"/>
                      <w:tblInd w:w="7" w:type="dxa"/>
                      <w:tblLayout w:type="fixed"/>
                      <w:tblCellMar>
                        <w:left w:w="0" w:type="dxa"/>
                        <w:right w:w="0" w:type="dxa"/>
                      </w:tblCellMar>
                      <w:tblLook w:val="01E0"/>
                    </w:tblPrEx>
                    <w:trPr>
                      <w:trHeight w:val="298"/>
                    </w:trPr>
                    <w:tc>
                      <w:tcPr>
                        <w:tcW w:w="1161" w:type="dxa"/>
                      </w:tcPr>
                      <w:p w:rsidR="00924753" w14:paraId="5B34E5DA" w14:textId="77777777">
                        <w:pPr>
                          <w:pStyle w:val="TableParagraph"/>
                          <w:spacing w:before="22" w:line="256" w:lineRule="exact"/>
                          <w:ind w:left="50"/>
                          <w:rPr>
                            <w:sz w:val="24"/>
                          </w:rPr>
                        </w:pPr>
                        <w:r>
                          <w:rPr>
                            <w:sz w:val="24"/>
                          </w:rPr>
                          <w:t>Author</w:t>
                        </w:r>
                      </w:p>
                    </w:tc>
                    <w:tc>
                      <w:tcPr>
                        <w:tcW w:w="2953" w:type="dxa"/>
                      </w:tcPr>
                      <w:p w:rsidR="00924753" w14:paraId="1762B211" w14:textId="77777777">
                        <w:pPr>
                          <w:pStyle w:val="TableParagraph"/>
                          <w:spacing w:before="22" w:line="256" w:lineRule="exact"/>
                          <w:ind w:left="165"/>
                          <w:rPr>
                            <w:sz w:val="24"/>
                          </w:rPr>
                        </w:pPr>
                        <w:r>
                          <w:rPr>
                            <w:sz w:val="24"/>
                          </w:rPr>
                          <w:t>Supervision of conduct</w:t>
                        </w:r>
                      </w:p>
                    </w:tc>
                    <w:tc>
                      <w:tcPr>
                        <w:tcW w:w="1762" w:type="dxa"/>
                      </w:tcPr>
                      <w:p w:rsidR="00924753" w14:paraId="4055EFCC" w14:textId="77777777">
                        <w:pPr>
                          <w:pStyle w:val="TableParagraph"/>
                          <w:spacing w:line="240" w:lineRule="auto"/>
                        </w:pPr>
                      </w:p>
                    </w:tc>
                    <w:tc>
                      <w:tcPr>
                        <w:tcW w:w="1079" w:type="dxa"/>
                      </w:tcPr>
                      <w:p w:rsidR="00924753" w14:paraId="3BDD32BC" w14:textId="77777777">
                        <w:pPr>
                          <w:pStyle w:val="TableParagraph"/>
                          <w:spacing w:line="240" w:lineRule="auto"/>
                        </w:pPr>
                      </w:p>
                    </w:tc>
                  </w:tr>
                </w:tbl>
                <w:p w:rsidR="00924753" w14:paraId="2D7BF47D" w14:textId="77777777">
                  <w:pPr>
                    <w:pStyle w:val="BodyText"/>
                  </w:pPr>
                </w:p>
              </w:txbxContent>
            </v:textbox>
          </v:shape>
        </w:pict>
      </w:r>
      <w:r w:rsidRPr="00EA6E2F">
        <w:rPr>
          <w:rFonts w:ascii="Arial"/>
          <w:b/>
          <w:sz w:val="24"/>
          <w:lang w:val="sv-SE"/>
        </w:rPr>
        <w:t>Memorandum</w:t>
      </w:r>
    </w:p>
    <w:p w:rsidR="00924753" w:rsidRPr="00EA6E2F" w14:paraId="6CFE541A" w14:textId="77777777">
      <w:pPr>
        <w:rPr>
          <w:rFonts w:ascii="Arial"/>
          <w:b/>
          <w:sz w:val="16"/>
          <w:lang w:val="sv-SE"/>
        </w:rPr>
      </w:pPr>
      <w:r w:rsidRPr="00EA6E2F">
        <w:rPr>
          <w:lang w:val="sv-SE"/>
        </w:rPr>
        <w:br w:type="column"/>
      </w:r>
    </w:p>
    <w:p w:rsidR="00924753" w:rsidRPr="00EA6E2F" w14:paraId="73ED550A" w14:textId="77777777">
      <w:pPr>
        <w:pStyle w:val="BodyText"/>
        <w:rPr>
          <w:rFonts w:ascii="Arial"/>
          <w:b/>
          <w:sz w:val="16"/>
          <w:lang w:val="sv-SE"/>
        </w:rPr>
      </w:pPr>
    </w:p>
    <w:p w:rsidR="00924753" w:rsidRPr="00EA6E2F" w14:paraId="72E45A8A" w14:textId="77777777">
      <w:pPr>
        <w:pStyle w:val="BodyText"/>
        <w:rPr>
          <w:rFonts w:ascii="Arial"/>
          <w:b/>
          <w:sz w:val="16"/>
          <w:lang w:val="sv-SE"/>
        </w:rPr>
      </w:pPr>
    </w:p>
    <w:p w:rsidR="00924753" w:rsidRPr="00EA6E2F" w14:paraId="3D724E5A" w14:textId="77777777">
      <w:pPr>
        <w:pStyle w:val="BodyText"/>
        <w:rPr>
          <w:rFonts w:ascii="Arial"/>
          <w:b/>
          <w:sz w:val="16"/>
          <w:lang w:val="sv-SE"/>
        </w:rPr>
      </w:pPr>
    </w:p>
    <w:p w:rsidR="00924753" w:rsidRPr="00EA6E2F" w14:paraId="6534B406" w14:textId="77777777">
      <w:pPr>
        <w:pStyle w:val="BodyText"/>
        <w:rPr>
          <w:rFonts w:ascii="Arial"/>
          <w:b/>
          <w:sz w:val="16"/>
          <w:lang w:val="sv-SE"/>
        </w:rPr>
      </w:pPr>
    </w:p>
    <w:p w:rsidR="00924753" w:rsidRPr="00EA6E2F" w14:paraId="31EB4883" w14:textId="77777777">
      <w:pPr>
        <w:pStyle w:val="BodyText"/>
        <w:spacing w:before="6"/>
        <w:rPr>
          <w:rFonts w:ascii="Arial"/>
          <w:b/>
          <w:sz w:val="20"/>
          <w:lang w:val="sv-SE"/>
        </w:rPr>
      </w:pPr>
    </w:p>
    <w:p w:rsidR="00924753" w:rsidRPr="00EA6E2F" w14:paraId="2A498682" w14:textId="77777777">
      <w:pPr>
        <w:ind w:left="422"/>
        <w:rPr>
          <w:rFonts w:ascii="Arial"/>
          <w:b/>
          <w:sz w:val="14"/>
          <w:lang w:val="sv-SE"/>
        </w:rPr>
      </w:pPr>
      <w:r>
        <w:rPr>
          <w:noProof/>
        </w:rPr>
        <w:drawing>
          <wp:anchor distT="0" distB="0" distL="0" distR="0" simplePos="0" relativeHeight="251658240" behindDoc="0" locked="0" layoutInCell="1" allowOverlap="1">
            <wp:simplePos x="0" y="0"/>
            <wp:positionH relativeFrom="page">
              <wp:posOffset>5868191</wp:posOffset>
            </wp:positionH>
            <wp:positionV relativeFrom="paragraph">
              <wp:posOffset>-1218282</wp:posOffset>
            </wp:positionV>
            <wp:extent cx="892927" cy="8639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5" cstate="print"/>
                    <a:stretch>
                      <a:fillRect/>
                    </a:stretch>
                  </pic:blipFill>
                  <pic:spPr>
                    <a:xfrm>
                      <a:off x="0" y="0"/>
                      <a:ext cx="892927" cy="863963"/>
                    </a:xfrm>
                    <a:prstGeom prst="rect">
                      <a:avLst/>
                    </a:prstGeom>
                  </pic:spPr>
                </pic:pic>
              </a:graphicData>
            </a:graphic>
          </wp:anchor>
        </w:drawing>
      </w:r>
      <w:r w:rsidRPr="00EA6E2F">
        <w:rPr>
          <w:rFonts w:ascii="Arial"/>
          <w:b/>
          <w:sz w:val="14"/>
          <w:lang w:val="sv-SE"/>
        </w:rPr>
        <w:t>Finansinspektionen</w:t>
      </w:r>
    </w:p>
    <w:p w:rsidR="00924753" w:rsidRPr="00EA6E2F" w14:paraId="61B9F68D" w14:textId="77777777">
      <w:pPr>
        <w:ind w:left="422"/>
        <w:rPr>
          <w:rFonts w:ascii="Arial"/>
          <w:sz w:val="14"/>
          <w:lang w:val="sv-SE"/>
        </w:rPr>
      </w:pPr>
      <w:r w:rsidRPr="00EA6E2F">
        <w:rPr>
          <w:rFonts w:ascii="Arial"/>
          <w:sz w:val="14"/>
          <w:lang w:val="sv-SE"/>
        </w:rPr>
        <w:t>Box 7821</w:t>
      </w:r>
    </w:p>
    <w:p w:rsidR="00924753" w:rsidRPr="00EA6E2F" w14:paraId="36346A72" w14:textId="77777777">
      <w:pPr>
        <w:ind w:left="422"/>
        <w:rPr>
          <w:rFonts w:ascii="Arial"/>
          <w:sz w:val="14"/>
          <w:lang w:val="sv-SE"/>
        </w:rPr>
      </w:pPr>
      <w:r w:rsidRPr="00EA6E2F">
        <w:rPr>
          <w:rFonts w:ascii="Arial"/>
          <w:sz w:val="14"/>
          <w:lang w:val="sv-SE"/>
        </w:rPr>
        <w:t>SE</w:t>
      </w:r>
      <w:r w:rsidRPr="00EA6E2F">
        <w:rPr>
          <w:rFonts w:ascii="Arial"/>
          <w:sz w:val="14"/>
          <w:lang w:val="sv-SE"/>
        </w:rPr>
        <w:t>–</w:t>
      </w:r>
      <w:r w:rsidRPr="00EA6E2F">
        <w:rPr>
          <w:rFonts w:ascii="Arial"/>
          <w:sz w:val="14"/>
          <w:lang w:val="sv-SE"/>
        </w:rPr>
        <w:t>103 97 Stockholm Sweden</w:t>
      </w:r>
    </w:p>
    <w:p w:rsidR="00924753" w14:paraId="13E46E7C" w14:textId="77777777">
      <w:pPr>
        <w:ind w:left="422"/>
        <w:rPr>
          <w:rFonts w:ascii="Arial"/>
          <w:sz w:val="14"/>
        </w:rPr>
      </w:pPr>
      <w:r>
        <w:rPr>
          <w:rFonts w:ascii="Arial"/>
          <w:sz w:val="14"/>
        </w:rPr>
        <w:t>Tel. +46 8 408 980 00</w:t>
      </w:r>
    </w:p>
    <w:p w:rsidR="00924753" w14:paraId="3D6F4112" w14:textId="77777777">
      <w:pPr>
        <w:ind w:left="422"/>
        <w:rPr>
          <w:rFonts w:ascii="Arial"/>
          <w:sz w:val="14"/>
        </w:rPr>
      </w:pPr>
      <w:hyperlink r:id="rId6" w:history="1">
        <w:r>
          <w:rPr>
            <w:rFonts w:ascii="Arial"/>
            <w:sz w:val="14"/>
          </w:rPr>
          <w:t>finansinspektionen@fi.se</w:t>
        </w:r>
      </w:hyperlink>
      <w:r>
        <w:rPr>
          <w:rFonts w:ascii="Arial"/>
          <w:sz w:val="14"/>
        </w:rPr>
        <w:t xml:space="preserve"> </w:t>
      </w:r>
      <w:hyperlink r:id="rId7" w:history="1">
        <w:r>
          <w:rPr>
            <w:rFonts w:ascii="Arial"/>
            <w:sz w:val="14"/>
          </w:rPr>
          <w:t>www.fi.se</w:t>
        </w:r>
      </w:hyperlink>
    </w:p>
    <w:p w:rsidR="00924753" w14:paraId="702027F4" w14:textId="77777777">
      <w:pPr>
        <w:rPr>
          <w:rFonts w:ascii="Arial"/>
          <w:sz w:val="14"/>
        </w:rPr>
        <w:sectPr>
          <w:type w:val="continuous"/>
          <w:pgSz w:w="11910" w:h="16840"/>
          <w:pgMar w:top="660" w:right="620" w:bottom="960" w:left="1420" w:header="0" w:footer="775" w:gutter="0"/>
          <w:cols w:num="2" w:space="720" w:equalWidth="0">
            <w:col w:w="1612" w:space="6040"/>
            <w:col w:w="2218"/>
          </w:cols>
        </w:sectPr>
      </w:pPr>
    </w:p>
    <w:p w:rsidR="00924753" w14:paraId="1CA9A25F" w14:textId="77777777">
      <w:pPr>
        <w:pStyle w:val="BodyText"/>
        <w:rPr>
          <w:rFonts w:ascii="Arial"/>
          <w:sz w:val="20"/>
        </w:rPr>
      </w:pPr>
    </w:p>
    <w:p w:rsidR="00924753" w14:paraId="32C6CB30" w14:textId="77777777">
      <w:pPr>
        <w:pStyle w:val="BodyText"/>
        <w:rPr>
          <w:rFonts w:ascii="Arial"/>
          <w:sz w:val="20"/>
        </w:rPr>
      </w:pPr>
    </w:p>
    <w:p w:rsidR="00924753" w14:paraId="0F6DBE84" w14:textId="77777777">
      <w:pPr>
        <w:pStyle w:val="BodyText"/>
        <w:rPr>
          <w:rFonts w:ascii="Arial"/>
          <w:sz w:val="20"/>
        </w:rPr>
      </w:pPr>
    </w:p>
    <w:p w:rsidR="00924753" w14:paraId="00328BC6" w14:textId="77777777">
      <w:pPr>
        <w:pStyle w:val="BodyText"/>
        <w:rPr>
          <w:rFonts w:ascii="Arial"/>
          <w:sz w:val="20"/>
        </w:rPr>
      </w:pPr>
    </w:p>
    <w:p w:rsidR="00924753" w14:paraId="2E28D8CA" w14:textId="77777777">
      <w:pPr>
        <w:pStyle w:val="Title"/>
      </w:pPr>
      <w:r>
        <w:t>FI's calculation of fund fees</w:t>
      </w:r>
    </w:p>
    <w:p w:rsidR="00924753" w14:paraId="70117727" w14:textId="77777777">
      <w:pPr>
        <w:pStyle w:val="Heading1"/>
        <w:spacing w:before="365"/>
      </w:pPr>
      <w:r>
        <w:t>Selection of funds</w:t>
      </w:r>
    </w:p>
    <w:p w:rsidR="00924753" w14:paraId="6914FD1D" w14:textId="77777777">
      <w:pPr>
        <w:pStyle w:val="BodyText"/>
        <w:spacing w:before="73" w:line="288" w:lineRule="auto"/>
        <w:ind w:left="169" w:right="2770"/>
      </w:pPr>
      <w:r>
        <w:t>In Finansinspektionen’s (FI) publication of fund fees, we determine the median fee for Swedish active and passive UCITS directed toward Sweden (Sweden fund) and globally (global fund).</w:t>
      </w:r>
    </w:p>
    <w:p w:rsidR="00924753" w14:paraId="653F3BBE" w14:textId="77777777">
      <w:pPr>
        <w:pStyle w:val="BodyText"/>
        <w:spacing w:before="10"/>
        <w:rPr>
          <w:sz w:val="20"/>
        </w:rPr>
      </w:pPr>
    </w:p>
    <w:p w:rsidR="00924753" w14:paraId="45E3CBAE" w14:textId="77777777">
      <w:pPr>
        <w:pStyle w:val="BodyText"/>
        <w:spacing w:line="288" w:lineRule="auto"/>
        <w:ind w:left="169" w:right="2636"/>
      </w:pPr>
      <w:r>
        <w:t>We use financial service company Morningstar to search for Sweden and global funds. The search criteria are fixed and set as described below.</w:t>
      </w:r>
    </w:p>
    <w:p w:rsidR="00924753" w14:paraId="4F099C04" w14:textId="77777777">
      <w:pPr>
        <w:pStyle w:val="BodyText"/>
        <w:spacing w:before="11"/>
        <w:rPr>
          <w:sz w:val="27"/>
        </w:rPr>
      </w:pPr>
    </w:p>
    <w:p w:rsidR="00924753" w14:paraId="3EB31C12" w14:textId="77777777">
      <w:pPr>
        <w:pStyle w:val="Heading2"/>
      </w:pPr>
      <w:r>
        <w:t>Swedish equity funds</w:t>
      </w:r>
    </w:p>
    <w:p w:rsidR="00924753" w14:paraId="7848B77A" w14:textId="77777777">
      <w:pPr>
        <w:pStyle w:val="BodyText"/>
        <w:spacing w:before="79"/>
        <w:ind w:left="169"/>
      </w:pPr>
      <w:r>
        <w:t>The selection of Swedish funds is based on the following criteria:</w:t>
      </w:r>
    </w:p>
    <w:p w:rsidR="00924753" w14:paraId="18B3B477" w14:textId="77777777">
      <w:pPr>
        <w:pStyle w:val="BodyText"/>
        <w:spacing w:before="10"/>
        <w:rPr>
          <w:sz w:val="25"/>
        </w:rPr>
      </w:pPr>
    </w:p>
    <w:p w:rsidR="00924753" w14:paraId="411EF77F" w14:textId="77777777">
      <w:pPr>
        <w:pStyle w:val="ListParagraph"/>
        <w:numPr>
          <w:ilvl w:val="0"/>
          <w:numId w:val="1"/>
        </w:numPr>
        <w:tabs>
          <w:tab w:val="left" w:pos="889"/>
          <w:tab w:val="left" w:pos="890"/>
        </w:tabs>
        <w:ind w:hanging="361"/>
        <w:rPr>
          <w:rFonts w:ascii="Symbol" w:hAnsi="Symbol"/>
          <w:sz w:val="24"/>
        </w:rPr>
      </w:pPr>
      <w:r>
        <w:rPr>
          <w:sz w:val="24"/>
        </w:rPr>
        <w:t>the Morningstar fund category is Sweden Equity</w:t>
      </w:r>
    </w:p>
    <w:p w:rsidR="00924753" w14:paraId="5C099ACD" w14:textId="77777777">
      <w:pPr>
        <w:pStyle w:val="BodyText"/>
        <w:spacing w:before="5"/>
        <w:rPr>
          <w:sz w:val="32"/>
        </w:rPr>
      </w:pPr>
    </w:p>
    <w:p w:rsidR="00924753" w14:paraId="7784983D" w14:textId="77777777">
      <w:pPr>
        <w:pStyle w:val="Heading2"/>
      </w:pPr>
      <w:r>
        <w:t>Global equity funds</w:t>
      </w:r>
    </w:p>
    <w:p w:rsidR="00924753" w14:paraId="34D16056" w14:textId="77777777">
      <w:pPr>
        <w:pStyle w:val="BodyText"/>
        <w:spacing w:before="79"/>
        <w:ind w:left="169"/>
      </w:pPr>
      <w:r>
        <w:t>The selection of global funds is based on the following criteria:</w:t>
      </w:r>
    </w:p>
    <w:p w:rsidR="00924753" w14:paraId="5F69869A" w14:textId="77777777">
      <w:pPr>
        <w:pStyle w:val="BodyText"/>
        <w:spacing w:before="8"/>
        <w:rPr>
          <w:sz w:val="25"/>
        </w:rPr>
      </w:pPr>
    </w:p>
    <w:p w:rsidR="00924753" w14:paraId="6E5DA719" w14:textId="77777777">
      <w:pPr>
        <w:pStyle w:val="ListParagraph"/>
        <w:numPr>
          <w:ilvl w:val="0"/>
          <w:numId w:val="1"/>
        </w:numPr>
        <w:tabs>
          <w:tab w:val="left" w:pos="889"/>
          <w:tab w:val="left" w:pos="890"/>
        </w:tabs>
        <w:ind w:hanging="361"/>
        <w:rPr>
          <w:rFonts w:ascii="Symbol" w:hAnsi="Symbol"/>
        </w:rPr>
      </w:pPr>
      <w:r>
        <w:rPr>
          <w:sz w:val="24"/>
        </w:rPr>
        <w:t>the Morningstar fund category is Global Equity Large Cap</w:t>
      </w:r>
    </w:p>
    <w:p w:rsidR="00924753" w14:paraId="19E04C2A" w14:textId="77777777">
      <w:pPr>
        <w:pStyle w:val="ListParagraph"/>
        <w:numPr>
          <w:ilvl w:val="0"/>
          <w:numId w:val="1"/>
        </w:numPr>
        <w:tabs>
          <w:tab w:val="left" w:pos="889"/>
          <w:tab w:val="left" w:pos="890"/>
        </w:tabs>
        <w:spacing w:before="55" w:line="288" w:lineRule="auto"/>
        <w:ind w:right="2349"/>
        <w:rPr>
          <w:rFonts w:ascii="Symbol" w:hAnsi="Symbol"/>
        </w:rPr>
      </w:pPr>
      <w:r>
        <w:rPr>
          <w:sz w:val="24"/>
        </w:rPr>
        <w:t>the Morningstar sub-categories are EAA Fund Global Large-Cap Blend Equity, EAA Fund Global Large-Cap Growth Equity, EAA Fund Global Flex-Cap Equity, EAA Fund Global Equity Income and EAA Fund Global Large-Cap Value Equity</w:t>
      </w:r>
    </w:p>
    <w:p w:rsidR="00924753" w14:paraId="4CD6B841" w14:textId="77777777">
      <w:pPr>
        <w:pStyle w:val="BodyText"/>
        <w:rPr>
          <w:sz w:val="28"/>
        </w:rPr>
      </w:pPr>
    </w:p>
    <w:p w:rsidR="00924753" w14:paraId="64677D03" w14:textId="77777777">
      <w:pPr>
        <w:pStyle w:val="Heading2"/>
        <w:spacing w:before="1"/>
      </w:pPr>
      <w:r>
        <w:t>Adjustments</w:t>
      </w:r>
    </w:p>
    <w:p w:rsidR="00924753" w:rsidP="00EA6E2F" w14:paraId="6BA89129" w14:textId="3439B43C">
      <w:pPr>
        <w:pStyle w:val="BodyText"/>
        <w:spacing w:before="79" w:line="288" w:lineRule="auto"/>
        <w:ind w:left="169" w:right="2443"/>
        <w:sectPr>
          <w:type w:val="continuous"/>
          <w:pgSz w:w="11910" w:h="16840"/>
          <w:pgMar w:top="660" w:right="620" w:bottom="960" w:left="1420" w:header="0" w:footer="775" w:gutter="0"/>
          <w:cols w:space="720"/>
        </w:sectPr>
      </w:pPr>
      <w:r>
        <w:t xml:space="preserve">Our selection of Sweden funds and Global funds specified above excludes special funds, funds of funds, feeder funds and </w:t>
      </w:r>
      <w:r w:rsidRPr="004A09D9" w:rsidR="004A09D9">
        <w:t>funds that allocate a certain percentage to non-profi</w:t>
      </w:r>
      <w:r w:rsidR="004A09D9">
        <w:t>t</w:t>
      </w:r>
      <w:r>
        <w:t>. We also exclude funds that charge a performance-based fee. When a fund has several unit classes, we use the unit class fee</w:t>
      </w:r>
    </w:p>
    <w:p w:rsidR="00924753" w:rsidRPr="00EA6E2F" w14:paraId="3CD5BDB8" w14:textId="77777777">
      <w:pPr>
        <w:pStyle w:val="BodyText"/>
        <w:spacing w:before="147"/>
        <w:ind w:left="5272"/>
        <w:rPr>
          <w:lang w:val="sv-SE"/>
        </w:rPr>
      </w:pPr>
      <w:r>
        <w:rPr>
          <w:noProof/>
        </w:rPr>
        <w:drawing>
          <wp:anchor distT="0" distB="0" distL="0" distR="0" simplePos="0" relativeHeight="251660288" behindDoc="0" locked="0" layoutInCell="1" allowOverlap="1">
            <wp:simplePos x="0" y="0"/>
            <wp:positionH relativeFrom="page">
              <wp:posOffset>6580861</wp:posOffset>
            </wp:positionH>
            <wp:positionV relativeFrom="paragraph">
              <wp:posOffset>-5295</wp:posOffset>
            </wp:positionV>
            <wp:extent cx="520186" cy="5162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xmlns:r="http://schemas.openxmlformats.org/officeDocument/2006/relationships" r:embed="rId8" cstate="print"/>
                    <a:stretch>
                      <a:fillRect/>
                    </a:stretch>
                  </pic:blipFill>
                  <pic:spPr>
                    <a:xfrm>
                      <a:off x="0" y="0"/>
                      <a:ext cx="520186" cy="516230"/>
                    </a:xfrm>
                    <a:prstGeom prst="rect">
                      <a:avLst/>
                    </a:prstGeom>
                  </pic:spPr>
                </pic:pic>
              </a:graphicData>
            </a:graphic>
          </wp:anchor>
        </w:drawing>
      </w:r>
      <w:r w:rsidRPr="00EA6E2F">
        <w:rPr>
          <w:lang w:val="sv-SE"/>
        </w:rPr>
        <w:t>FI Ref. Enter FI Ref.</w:t>
      </w:r>
    </w:p>
    <w:p w:rsidR="00924753" w:rsidRPr="00EA6E2F" w14:paraId="6EDBFE01" w14:textId="77777777">
      <w:pPr>
        <w:pStyle w:val="BodyText"/>
        <w:rPr>
          <w:sz w:val="26"/>
          <w:lang w:val="sv-SE"/>
        </w:rPr>
      </w:pPr>
    </w:p>
    <w:p w:rsidR="00924753" w:rsidRPr="00EA6E2F" w14:paraId="08AC551E" w14:textId="77777777">
      <w:pPr>
        <w:pStyle w:val="BodyText"/>
        <w:rPr>
          <w:sz w:val="26"/>
          <w:lang w:val="sv-SE"/>
        </w:rPr>
      </w:pPr>
    </w:p>
    <w:p w:rsidR="00924753" w:rsidRPr="00EA6E2F" w14:paraId="564A10FA" w14:textId="77777777">
      <w:pPr>
        <w:pStyle w:val="BodyText"/>
        <w:rPr>
          <w:sz w:val="26"/>
          <w:lang w:val="sv-SE"/>
        </w:rPr>
      </w:pPr>
    </w:p>
    <w:p w:rsidR="00924753" w:rsidRPr="00EA6E2F" w14:paraId="727A1FAF" w14:textId="77777777">
      <w:pPr>
        <w:pStyle w:val="BodyText"/>
        <w:spacing w:before="8"/>
        <w:rPr>
          <w:sz w:val="20"/>
          <w:lang w:val="sv-SE"/>
        </w:rPr>
      </w:pPr>
    </w:p>
    <w:p w:rsidR="00924753" w14:paraId="521E66BF" w14:textId="77777777">
      <w:pPr>
        <w:pStyle w:val="BodyText"/>
        <w:spacing w:before="1" w:line="288" w:lineRule="auto"/>
        <w:ind w:left="169" w:right="2476"/>
      </w:pPr>
      <w:r>
        <w:t>that is highest. We do this to exclude unit classes that have conditions for distribution or a lowest limit for deposit.</w:t>
      </w:r>
    </w:p>
    <w:p w:rsidR="00924753" w14:paraId="7358960F" w14:textId="77777777">
      <w:pPr>
        <w:pStyle w:val="BodyText"/>
        <w:spacing w:before="9"/>
        <w:rPr>
          <w:sz w:val="28"/>
        </w:rPr>
      </w:pPr>
    </w:p>
    <w:p w:rsidR="00924753" w14:paraId="2881B423" w14:textId="77777777">
      <w:pPr>
        <w:pStyle w:val="BodyText"/>
        <w:spacing w:line="288" w:lineRule="auto"/>
        <w:ind w:left="169" w:right="2483"/>
      </w:pPr>
      <w:r>
        <w:t>On 30 June 2023, the number of Swedish equity funds was 58, 22 of which were passively managed. On 30 June 2023, the number of Global equity funds was 44, 11 of which were passively managed. The number of funds in the selection may differ when the selection is updated.</w:t>
      </w:r>
    </w:p>
    <w:p w:rsidR="00924753" w14:paraId="12E871C4" w14:textId="77777777">
      <w:pPr>
        <w:pStyle w:val="BodyText"/>
        <w:spacing w:before="4"/>
        <w:rPr>
          <w:sz w:val="31"/>
        </w:rPr>
      </w:pPr>
    </w:p>
    <w:p w:rsidR="00924753" w14:paraId="7A6137E1" w14:textId="77777777">
      <w:pPr>
        <w:pStyle w:val="Heading1"/>
      </w:pPr>
      <w:r>
        <w:t>Fee calculation method</w:t>
      </w:r>
    </w:p>
    <w:p w:rsidR="00924753" w14:paraId="7EA99E1B" w14:textId="77777777">
      <w:pPr>
        <w:pStyle w:val="BodyText"/>
        <w:spacing w:before="76" w:line="288" w:lineRule="auto"/>
        <w:ind w:left="169" w:right="2337"/>
      </w:pPr>
      <w:r>
        <w:t>To calculate the median fee, FI uses reporting of holdings submitted to the authority on a quarterly basis by the fund managers. Here, ‘fee’ refers to the annual, fixed management fee that applied during the quarter. The fees that the funds in the selection reported are then used as an estimation for determining each category's median fee.</w:t>
      </w:r>
    </w:p>
    <w:p w:rsidR="00924753" w14:paraId="4C237D40" w14:textId="77777777">
      <w:pPr>
        <w:pStyle w:val="BodyText"/>
        <w:spacing w:before="10"/>
        <w:rPr>
          <w:sz w:val="20"/>
        </w:rPr>
      </w:pPr>
    </w:p>
    <w:p w:rsidR="00924753" w14:paraId="0888DB71" w14:textId="77777777">
      <w:pPr>
        <w:pStyle w:val="BodyText"/>
        <w:spacing w:line="288" w:lineRule="auto"/>
        <w:ind w:left="169" w:right="2443"/>
      </w:pPr>
      <w:r>
        <w:t>The figures we produce should be viewed as an estimation for each respective fund category. Due to a manager having high costs for managing the fund, or their choice of investment strategy or asset class, for example, can explain why a fund’s fee may be higher than the median fee.</w:t>
      </w:r>
    </w:p>
    <w:sectPr>
      <w:pgSz w:w="11910" w:h="16840"/>
      <w:pgMar w:top="400" w:right="620" w:bottom="960" w:left="1420" w:header="0" w:footer="7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753" w14:paraId="6704E729"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27pt;height:15.3pt;margin-top:792.2pt;margin-left:507.1pt;mso-position-horizontal-relative:page;mso-position-vertical-relative:page;position:absolute;z-index:-251658240" filled="f" stroked="f">
          <v:textbox inset="0,0,0,0">
            <w:txbxContent>
              <w:p w:rsidR="00924753" w14:paraId="26771639" w14:textId="77777777">
                <w:pPr>
                  <w:pStyle w:val="BodyText"/>
                  <w:spacing w:before="10"/>
                  <w:ind w:left="60"/>
                </w:pPr>
                <w:r>
                  <w:fldChar w:fldCharType="begin"/>
                </w:r>
                <w:r>
                  <w:instrText xml:space="preserve"> PAGE </w:instrText>
                </w:r>
                <w:r>
                  <w:fldChar w:fldCharType="separate"/>
                </w:r>
                <w:r>
                  <w:t>1</w:t>
                </w:r>
                <w:r>
                  <w:fldChar w:fldCharType="end"/>
                </w:r>
                <w:r>
                  <w:t xml:space="preserve"> (2)</w:t>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1A34D8"/>
    <w:multiLevelType w:val="hybridMultilevel"/>
    <w:tmpl w:val="F724C220"/>
    <w:lvl w:ilvl="0">
      <w:start w:val="0"/>
      <w:numFmt w:val="bullet"/>
      <w:lvlText w:val=""/>
      <w:lvlJc w:val="left"/>
      <w:pPr>
        <w:ind w:left="889" w:hanging="360"/>
      </w:pPr>
      <w:rPr>
        <w:rFonts w:ascii="Symbol" w:eastAsia="Symbol" w:hAnsi="Symbol" w:cs="Symbol" w:hint="default"/>
        <w:lang w:val="sv-SE" w:eastAsia="en-US" w:bidi="ar-SA"/>
      </w:rPr>
    </w:lvl>
    <w:lvl w:ilvl="1">
      <w:start w:val="0"/>
      <w:numFmt w:val="bullet"/>
      <w:lvlText w:val="•"/>
      <w:lvlJc w:val="left"/>
      <w:pPr>
        <w:ind w:left="1778" w:hanging="360"/>
      </w:pPr>
      <w:rPr>
        <w:rFonts w:hint="default"/>
        <w:lang w:val="sv-SE" w:eastAsia="en-US" w:bidi="ar-SA"/>
      </w:rPr>
    </w:lvl>
    <w:lvl w:ilvl="2">
      <w:start w:val="0"/>
      <w:numFmt w:val="bullet"/>
      <w:lvlText w:val="•"/>
      <w:lvlJc w:val="left"/>
      <w:pPr>
        <w:ind w:left="2677" w:hanging="360"/>
      </w:pPr>
      <w:rPr>
        <w:rFonts w:hint="default"/>
        <w:lang w:val="sv-SE" w:eastAsia="en-US" w:bidi="ar-SA"/>
      </w:rPr>
    </w:lvl>
    <w:lvl w:ilvl="3">
      <w:start w:val="0"/>
      <w:numFmt w:val="bullet"/>
      <w:lvlText w:val="•"/>
      <w:lvlJc w:val="left"/>
      <w:pPr>
        <w:ind w:left="3575" w:hanging="360"/>
      </w:pPr>
      <w:rPr>
        <w:rFonts w:hint="default"/>
        <w:lang w:val="sv-SE" w:eastAsia="en-US" w:bidi="ar-SA"/>
      </w:rPr>
    </w:lvl>
    <w:lvl w:ilvl="4">
      <w:start w:val="0"/>
      <w:numFmt w:val="bullet"/>
      <w:lvlText w:val="•"/>
      <w:lvlJc w:val="left"/>
      <w:pPr>
        <w:ind w:left="4474" w:hanging="360"/>
      </w:pPr>
      <w:rPr>
        <w:rFonts w:hint="default"/>
        <w:lang w:val="sv-SE" w:eastAsia="en-US" w:bidi="ar-SA"/>
      </w:rPr>
    </w:lvl>
    <w:lvl w:ilvl="5">
      <w:start w:val="0"/>
      <w:numFmt w:val="bullet"/>
      <w:lvlText w:val="•"/>
      <w:lvlJc w:val="left"/>
      <w:pPr>
        <w:ind w:left="5373" w:hanging="360"/>
      </w:pPr>
      <w:rPr>
        <w:rFonts w:hint="default"/>
        <w:lang w:val="sv-SE" w:eastAsia="en-US" w:bidi="ar-SA"/>
      </w:rPr>
    </w:lvl>
    <w:lvl w:ilvl="6">
      <w:start w:val="0"/>
      <w:numFmt w:val="bullet"/>
      <w:lvlText w:val="•"/>
      <w:lvlJc w:val="left"/>
      <w:pPr>
        <w:ind w:left="6271" w:hanging="360"/>
      </w:pPr>
      <w:rPr>
        <w:rFonts w:hint="default"/>
        <w:lang w:val="sv-SE" w:eastAsia="en-US" w:bidi="ar-SA"/>
      </w:rPr>
    </w:lvl>
    <w:lvl w:ilvl="7">
      <w:start w:val="0"/>
      <w:numFmt w:val="bullet"/>
      <w:lvlText w:val="•"/>
      <w:lvlJc w:val="left"/>
      <w:pPr>
        <w:ind w:left="7170" w:hanging="360"/>
      </w:pPr>
      <w:rPr>
        <w:rFonts w:hint="default"/>
        <w:lang w:val="sv-SE" w:eastAsia="en-US" w:bidi="ar-SA"/>
      </w:rPr>
    </w:lvl>
    <w:lvl w:ilvl="8">
      <w:start w:val="0"/>
      <w:numFmt w:val="bullet"/>
      <w:lvlText w:val="•"/>
      <w:lvlJc w:val="left"/>
      <w:pPr>
        <w:ind w:left="8069" w:hanging="360"/>
      </w:pPr>
      <w:rPr>
        <w:rFonts w:hint="default"/>
        <w:lang w:val="sv-S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53"/>
    <w:rsid w:val="004A09D9"/>
    <w:rsid w:val="00924753"/>
    <w:rsid w:val="00D469A3"/>
    <w:rsid w:val="00EA6E2F"/>
  </w:rsids>
  <m:mathPr>
    <m:mathFont m:val="Cambria Math"/>
  </m:mathPr>
  <w:clrSchemeMapping w:bg1="light1" w:t1="dark1" w:bg2="light2" w:t2="dark2" w:accent1="accent1" w:accent2="accent2" w:accent3="accent3" w:accent4="accent4" w:accent5="accent5" w:accent6="accent6" w:hyperlink="hyperlink" w:followedHyperlink="followedHyperlink"/>
  <w15:docId w15:val="{B37E61B5-6EA4-4051-93EA-0619D2F5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9"/>
      <w:outlineLvl w:val="0"/>
    </w:pPr>
    <w:rPr>
      <w:rFonts w:ascii="Arial" w:eastAsia="Arial" w:hAnsi="Arial" w:cs="Arial"/>
      <w:sz w:val="32"/>
      <w:szCs w:val="32"/>
    </w:rPr>
  </w:style>
  <w:style w:type="paragraph" w:styleId="Heading2">
    <w:name w:val="heading 2"/>
    <w:basedOn w:val="Normal"/>
    <w:uiPriority w:val="9"/>
    <w:unhideWhenUsed/>
    <w:qFormat/>
    <w:pPr>
      <w:ind w:left="169"/>
      <w:outlineLvl w:val="1"/>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2"/>
      <w:ind w:left="169"/>
    </w:pPr>
    <w:rPr>
      <w:rFonts w:ascii="Arial" w:eastAsia="Arial" w:hAnsi="Arial" w:cs="Arial"/>
      <w:sz w:val="40"/>
      <w:szCs w:val="40"/>
    </w:rPr>
  </w:style>
  <w:style w:type="paragraph" w:styleId="ListParagraph">
    <w:name w:val="List Paragraph"/>
    <w:basedOn w:val="Normal"/>
    <w:uiPriority w:val="1"/>
    <w:qFormat/>
    <w:pPr>
      <w:ind w:left="889" w:hanging="361"/>
    </w:pPr>
  </w:style>
  <w:style w:type="paragraph" w:customStyle="1" w:styleId="TableParagraph">
    <w:name w:val="Table Paragraph"/>
    <w:basedOn w:val="Normal"/>
    <w:uiPriority w:val="1"/>
    <w:qFormat/>
    <w:pPr>
      <w:spacing w:line="26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hyperlink" Target="mailto:finansinspektionen@fi.se" TargetMode="External" /><Relationship Id="rId7" Type="http://schemas.openxmlformats.org/officeDocument/2006/relationships/hyperlink" Target="http://www.fi.se/" TargetMode="External" /><Relationship Id="rId8" Type="http://schemas.openxmlformats.org/officeDocument/2006/relationships/image" Target="media/image2.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Ekeros</dc:creator>
  <cp:lastModifiedBy>Tricia Hansson</cp:lastModifiedBy>
  <cp:revision>2</cp:revision>
  <dcterms:created xsi:type="dcterms:W3CDTF">2023-11-02T10:24:00Z</dcterms:created>
  <dcterms:modified xsi:type="dcterms:W3CDTF">2023-11-07T10:22:00Z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for Microsoft 365</vt:lpwstr>
  </property>
  <property fmtid="{D5CDD505-2E9C-101B-9397-08002B2CF9AE}" pid="4" name="LastSaved">
    <vt:filetime>2023-11-02T00:00:00Z</vt:filetime>
  </property>
</Properties>
</file>