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65BF2" w14:textId="77777777" w:rsidR="00AB6D48" w:rsidRPr="00AB6D48" w:rsidRDefault="00AB6D48" w:rsidP="00AB6D48">
      <w:pPr>
        <w:spacing w:after="0" w:line="240" w:lineRule="auto"/>
        <w:rPr>
          <w:rFonts w:ascii="Times New Roman" w:hAnsi="Times New Roman" w:cs="Times New Roman"/>
          <w:b/>
          <w:sz w:val="28"/>
          <w:szCs w:val="28"/>
          <w:lang w:val="en-US"/>
        </w:rPr>
      </w:pPr>
      <w:r w:rsidRPr="00AB6D48">
        <w:rPr>
          <w:rFonts w:ascii="Times New Roman" w:hAnsi="Times New Roman" w:cs="Times New Roman"/>
          <w:b/>
          <w:noProof/>
          <w:sz w:val="28"/>
          <w:szCs w:val="28"/>
          <w:lang w:eastAsia="sv-SE"/>
        </w:rPr>
        <w:drawing>
          <wp:anchor distT="0" distB="0" distL="114300" distR="114300" simplePos="0" relativeHeight="251659264" behindDoc="0" locked="1" layoutInCell="1" allowOverlap="1" wp14:anchorId="4B1618F7" wp14:editId="29C899D8">
            <wp:simplePos x="0" y="0"/>
            <wp:positionH relativeFrom="column">
              <wp:posOffset>5177155</wp:posOffset>
            </wp:positionH>
            <wp:positionV relativeFrom="paragraph">
              <wp:posOffset>-422275</wp:posOffset>
            </wp:positionV>
            <wp:extent cx="895350" cy="866775"/>
            <wp:effectExtent l="0" t="0" r="0" b="9525"/>
            <wp:wrapNone/>
            <wp:docPr id="2" name="Bildobjekt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nsinsp-sv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D48">
        <w:rPr>
          <w:rFonts w:ascii="Times New Roman" w:hAnsi="Times New Roman" w:cs="Times New Roman"/>
          <w:b/>
          <w:noProof/>
          <w:sz w:val="28"/>
          <w:szCs w:val="28"/>
          <w:lang w:eastAsia="sv-SE"/>
        </w:rPr>
        <mc:AlternateContent>
          <mc:Choice Requires="wps">
            <w:drawing>
              <wp:anchor distT="0" distB="0" distL="114300" distR="114300" simplePos="0" relativeHeight="251658240" behindDoc="1" locked="1" layoutInCell="1" allowOverlap="1" wp14:anchorId="0FC2AC58" wp14:editId="3A5A5A46">
                <wp:simplePos x="0" y="0"/>
                <wp:positionH relativeFrom="page">
                  <wp:posOffset>6072505</wp:posOffset>
                </wp:positionH>
                <wp:positionV relativeFrom="page">
                  <wp:posOffset>1539875</wp:posOffset>
                </wp:positionV>
                <wp:extent cx="1447800" cy="1257300"/>
                <wp:effectExtent l="0" t="0" r="0" b="0"/>
                <wp:wrapTight wrapText="left">
                  <wp:wrapPolygon edited="0">
                    <wp:start x="0" y="0"/>
                    <wp:lineTo x="0" y="21273"/>
                    <wp:lineTo x="21316" y="21273"/>
                    <wp:lineTo x="21316" y="0"/>
                    <wp:lineTo x="0" y="0"/>
                  </wp:wrapPolygon>
                </wp:wrapTight>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E68AD6" w14:textId="77777777" w:rsidR="00CC3268" w:rsidRDefault="00CC3268" w:rsidP="00CA58D3">
                            <w:pPr>
                              <w:pStyle w:val="Sidfot"/>
                              <w:spacing w:line="180" w:lineRule="exact"/>
                              <w:rPr>
                                <w:rFonts w:ascii="Arial" w:hAnsi="Arial" w:cs="Arial"/>
                                <w:b/>
                                <w:bCs/>
                                <w:sz w:val="16"/>
                              </w:rPr>
                            </w:pPr>
                            <w:r>
                              <w:rPr>
                                <w:rFonts w:ascii="Arial" w:hAnsi="Arial" w:cs="Arial"/>
                                <w:b/>
                                <w:bCs/>
                                <w:sz w:val="16"/>
                              </w:rPr>
                              <w:t>Finansinspektionen</w:t>
                            </w:r>
                          </w:p>
                          <w:p w14:paraId="2E690C4F" w14:textId="77777777" w:rsidR="00CC3268" w:rsidRDefault="00CC3268" w:rsidP="00CA58D3">
                            <w:pPr>
                              <w:pStyle w:val="Sidfot"/>
                              <w:spacing w:line="180" w:lineRule="exact"/>
                              <w:rPr>
                                <w:rFonts w:ascii="Arial" w:hAnsi="Arial" w:cs="Arial"/>
                                <w:sz w:val="14"/>
                              </w:rPr>
                            </w:pPr>
                            <w:r>
                              <w:rPr>
                                <w:rFonts w:ascii="Arial" w:hAnsi="Arial" w:cs="Arial"/>
                                <w:sz w:val="14"/>
                              </w:rPr>
                              <w:t>Box 7821</w:t>
                            </w:r>
                            <w:r>
                              <w:rPr>
                                <w:rFonts w:ascii="Arial" w:hAnsi="Arial" w:cs="Arial"/>
                                <w:sz w:val="14"/>
                              </w:rPr>
                              <w:br/>
                              <w:t>SE-103 97 Stockholm, Sweden</w:t>
                            </w:r>
                          </w:p>
                          <w:p w14:paraId="0F0A0101" w14:textId="7A1654D0" w:rsidR="00CC3268" w:rsidRDefault="00CC3268" w:rsidP="00CA58D3">
                            <w:pPr>
                              <w:pStyle w:val="Sidfot"/>
                              <w:spacing w:line="180" w:lineRule="exact"/>
                              <w:rPr>
                                <w:rFonts w:ascii="Arial" w:hAnsi="Arial" w:cs="Arial"/>
                                <w:sz w:val="14"/>
                              </w:rPr>
                            </w:pPr>
                            <w:r>
                              <w:rPr>
                                <w:rFonts w:ascii="Arial" w:hAnsi="Arial" w:cs="Arial"/>
                                <w:sz w:val="14"/>
                              </w:rPr>
                              <w:t>[</w:t>
                            </w:r>
                            <w:r w:rsidR="00CB5C44">
                              <w:rPr>
                                <w:rFonts w:ascii="Arial" w:hAnsi="Arial" w:cs="Arial"/>
                                <w:sz w:val="14"/>
                              </w:rPr>
                              <w:t>Sveavägen 44</w:t>
                            </w:r>
                            <w:r>
                              <w:rPr>
                                <w:rFonts w:ascii="Arial" w:hAnsi="Arial" w:cs="Arial"/>
                                <w:sz w:val="14"/>
                              </w:rPr>
                              <w:t>]</w:t>
                            </w:r>
                            <w:r>
                              <w:rPr>
                                <w:rFonts w:ascii="Arial" w:hAnsi="Arial" w:cs="Arial"/>
                                <w:sz w:val="14"/>
                              </w:rPr>
                              <w:br/>
                              <w:t>Tel +46 8 787 80 00</w:t>
                            </w:r>
                            <w:r>
                              <w:rPr>
                                <w:rFonts w:ascii="Arial" w:hAnsi="Arial" w:cs="Arial"/>
                                <w:sz w:val="14"/>
                              </w:rPr>
                              <w:br/>
                              <w:t>Fax +46 8 24 39 25</w:t>
                            </w:r>
                            <w:r>
                              <w:rPr>
                                <w:rFonts w:ascii="Arial" w:hAnsi="Arial" w:cs="Arial"/>
                                <w:sz w:val="14"/>
                              </w:rPr>
                              <w:br/>
                              <w:t>finansinspektionen@fi.se</w:t>
                            </w:r>
                            <w:r>
                              <w:rPr>
                                <w:rFonts w:ascii="Arial" w:hAnsi="Arial" w:cs="Arial"/>
                                <w:sz w:val="14"/>
                              </w:rPr>
                              <w:br/>
                              <w:t>www.fi.se</w:t>
                            </w:r>
                          </w:p>
                          <w:p w14:paraId="0DD52FB9" w14:textId="77777777" w:rsidR="00CC3268" w:rsidRDefault="00CC3268" w:rsidP="00CA58D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2AC58" id="_x0000_t202" coordsize="21600,21600" o:spt="202" path="m,l,21600r21600,l21600,xe">
                <v:stroke joinstyle="miter"/>
                <v:path gradientshapeok="t" o:connecttype="rect"/>
              </v:shapetype>
              <v:shape id="Textruta 1" o:spid="_x0000_s1026" type="#_x0000_t202" style="position:absolute;margin-left:478.15pt;margin-top:121.25pt;width:114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" stroked="f" strokeweight="4pt">
                <v:textbox inset="1mm,1mm,1mm,1mm">
                  <w:txbxContent>
                    <w:p w14:paraId="33E68AD6" w14:textId="77777777" w:rsidR="00CC3268" w:rsidRDefault="00CC3268" w:rsidP="00CA58D3">
                      <w:pPr>
                        <w:pStyle w:val="Sidfot"/>
                        <w:spacing w:line="180" w:lineRule="exact"/>
                        <w:rPr>
                          <w:rFonts w:ascii="Arial" w:hAnsi="Arial" w:cs="Arial"/>
                          <w:b/>
                          <w:bCs/>
                          <w:sz w:val="16"/>
                        </w:rPr>
                      </w:pPr>
                      <w:r>
                        <w:rPr>
                          <w:rFonts w:ascii="Arial" w:hAnsi="Arial" w:cs="Arial"/>
                          <w:b/>
                          <w:bCs/>
                          <w:sz w:val="16"/>
                        </w:rPr>
                        <w:t>Finansinspektionen</w:t>
                      </w:r>
                    </w:p>
                    <w:p w14:paraId="2E690C4F" w14:textId="77777777" w:rsidR="00CC3268" w:rsidRDefault="00CC3268" w:rsidP="00CA58D3">
                      <w:pPr>
                        <w:pStyle w:val="Sidfot"/>
                        <w:spacing w:line="180" w:lineRule="exact"/>
                        <w:rPr>
                          <w:rFonts w:ascii="Arial" w:hAnsi="Arial" w:cs="Arial"/>
                          <w:sz w:val="14"/>
                        </w:rPr>
                      </w:pPr>
                      <w:r>
                        <w:rPr>
                          <w:rFonts w:ascii="Arial" w:hAnsi="Arial" w:cs="Arial"/>
                          <w:sz w:val="14"/>
                        </w:rPr>
                        <w:t>Box 7821</w:t>
                      </w:r>
                      <w:r>
                        <w:rPr>
                          <w:rFonts w:ascii="Arial" w:hAnsi="Arial" w:cs="Arial"/>
                          <w:sz w:val="14"/>
                        </w:rPr>
                        <w:br/>
                        <w:t>SE-103 97 Stockholm, Sweden</w:t>
                      </w:r>
                    </w:p>
                    <w:p w14:paraId="0F0A0101" w14:textId="7A1654D0" w:rsidR="00CC3268" w:rsidRDefault="00CC3268" w:rsidP="00CA58D3">
                      <w:pPr>
                        <w:pStyle w:val="Sidfot"/>
                        <w:spacing w:line="180" w:lineRule="exact"/>
                        <w:rPr>
                          <w:rFonts w:ascii="Arial" w:hAnsi="Arial" w:cs="Arial"/>
                          <w:sz w:val="14"/>
                        </w:rPr>
                      </w:pPr>
                      <w:r>
                        <w:rPr>
                          <w:rFonts w:ascii="Arial" w:hAnsi="Arial" w:cs="Arial"/>
                          <w:sz w:val="14"/>
                        </w:rPr>
                        <w:t>[</w:t>
                      </w:r>
                      <w:r w:rsidR="00CB5C44">
                        <w:rPr>
                          <w:rFonts w:ascii="Arial" w:hAnsi="Arial" w:cs="Arial"/>
                          <w:sz w:val="14"/>
                        </w:rPr>
                        <w:t>Sveavägen 44</w:t>
                      </w:r>
                      <w:r>
                        <w:rPr>
                          <w:rFonts w:ascii="Arial" w:hAnsi="Arial" w:cs="Arial"/>
                          <w:sz w:val="14"/>
                        </w:rPr>
                        <w:t>]</w:t>
                      </w:r>
                      <w:r>
                        <w:rPr>
                          <w:rFonts w:ascii="Arial" w:hAnsi="Arial" w:cs="Arial"/>
                          <w:sz w:val="14"/>
                        </w:rPr>
                        <w:br/>
                        <w:t>Tel +46 8 787 80 00</w:t>
                      </w:r>
                      <w:r>
                        <w:rPr>
                          <w:rFonts w:ascii="Arial" w:hAnsi="Arial" w:cs="Arial"/>
                          <w:sz w:val="14"/>
                        </w:rPr>
                        <w:br/>
                        <w:t>Fax +46 8 24 39 25</w:t>
                      </w:r>
                      <w:r>
                        <w:rPr>
                          <w:rFonts w:ascii="Arial" w:hAnsi="Arial" w:cs="Arial"/>
                          <w:sz w:val="14"/>
                        </w:rPr>
                        <w:br/>
                        <w:t>finansinspektionen@fi.se</w:t>
                      </w:r>
                      <w:r>
                        <w:rPr>
                          <w:rFonts w:ascii="Arial" w:hAnsi="Arial" w:cs="Arial"/>
                          <w:sz w:val="14"/>
                        </w:rPr>
                        <w:br/>
                        <w:t>www.fi.se</w:t>
                      </w:r>
                    </w:p>
                    <w:p w14:paraId="0DD52FB9" w14:textId="77777777" w:rsidR="00CC3268" w:rsidRDefault="00CC3268" w:rsidP="00CA58D3"/>
                  </w:txbxContent>
                </v:textbox>
                <w10:wrap type="tight" side="left" anchorx="page" anchory="page"/>
                <w10:anchorlock/>
              </v:shape>
            </w:pict>
          </mc:Fallback>
        </mc:AlternateContent>
      </w:r>
      <w:r w:rsidR="00D0610F" w:rsidRPr="00AB6D48">
        <w:rPr>
          <w:rFonts w:ascii="Times New Roman" w:hAnsi="Times New Roman" w:cs="Times New Roman"/>
          <w:b/>
          <w:sz w:val="28"/>
          <w:szCs w:val="28"/>
          <w:lang w:val="en-US"/>
        </w:rPr>
        <w:t>Step-by-ste</w:t>
      </w:r>
      <w:r w:rsidR="00780779">
        <w:rPr>
          <w:rFonts w:ascii="Times New Roman" w:hAnsi="Times New Roman" w:cs="Times New Roman"/>
          <w:b/>
          <w:sz w:val="28"/>
          <w:szCs w:val="28"/>
          <w:lang w:val="en-US"/>
        </w:rPr>
        <w:t>p guide to filling in the form ‘</w:t>
      </w:r>
      <w:r w:rsidR="00D0610F" w:rsidRPr="00AB6D48">
        <w:rPr>
          <w:rFonts w:ascii="Times New Roman" w:hAnsi="Times New Roman" w:cs="Times New Roman"/>
          <w:b/>
          <w:sz w:val="28"/>
          <w:szCs w:val="28"/>
          <w:lang w:val="en-US"/>
        </w:rPr>
        <w:t xml:space="preserve">Notification of Changes </w:t>
      </w:r>
    </w:p>
    <w:p w14:paraId="3E923538" w14:textId="77777777" w:rsidR="00B65BF4" w:rsidRPr="00AB6D48" w:rsidRDefault="00D0610F" w:rsidP="00AB6D48">
      <w:pPr>
        <w:spacing w:after="0" w:line="240" w:lineRule="auto"/>
        <w:rPr>
          <w:rFonts w:ascii="Times New Roman" w:hAnsi="Times New Roman" w:cs="Times New Roman"/>
          <w:b/>
          <w:sz w:val="28"/>
          <w:szCs w:val="28"/>
          <w:lang w:val="en-US"/>
        </w:rPr>
      </w:pPr>
      <w:r w:rsidRPr="00AB6D48">
        <w:rPr>
          <w:rFonts w:ascii="Times New Roman" w:hAnsi="Times New Roman" w:cs="Times New Roman"/>
          <w:b/>
          <w:sz w:val="28"/>
          <w:szCs w:val="28"/>
          <w:lang w:val="en-US"/>
        </w:rPr>
        <w:t>in Major Shareholdings’</w:t>
      </w:r>
    </w:p>
    <w:p w14:paraId="0A108B2D" w14:textId="77777777" w:rsidR="00AB6D48" w:rsidRDefault="00AB6D48" w:rsidP="00AB6D48">
      <w:pPr>
        <w:pStyle w:val="Liststycke"/>
        <w:rPr>
          <w:lang w:val="en-US"/>
        </w:rPr>
      </w:pPr>
    </w:p>
    <w:p w14:paraId="37B7EB0E" w14:textId="77777777" w:rsidR="00D0610F" w:rsidRPr="004B76BD" w:rsidRDefault="004B76BD" w:rsidP="004B76BD">
      <w:pPr>
        <w:rPr>
          <w:rFonts w:ascii="Times New Roman" w:hAnsi="Times New Roman" w:cs="Times New Roman"/>
          <w:b/>
          <w:lang w:val="en-US"/>
        </w:rPr>
      </w:pPr>
      <w:r>
        <w:rPr>
          <w:rFonts w:ascii="Times New Roman" w:hAnsi="Times New Roman" w:cs="Times New Roman"/>
          <w:b/>
          <w:lang w:val="en-US"/>
        </w:rPr>
        <w:t>Changes</w:t>
      </w:r>
    </w:p>
    <w:p w14:paraId="25C14A49" w14:textId="77777777" w:rsidR="00D0610F" w:rsidRPr="00AB6D48" w:rsidRDefault="00D0610F" w:rsidP="00D0610F">
      <w:pPr>
        <w:ind w:left="360"/>
        <w:rPr>
          <w:rFonts w:ascii="Times New Roman" w:hAnsi="Times New Roman" w:cs="Times New Roman"/>
          <w:lang w:val="en-US"/>
        </w:rPr>
      </w:pPr>
      <w:r w:rsidRPr="00AB6D48">
        <w:rPr>
          <w:rFonts w:ascii="Times New Roman" w:hAnsi="Times New Roman" w:cs="Times New Roman"/>
          <w:lang w:val="en-US"/>
        </w:rPr>
        <w:t>Indicate on whose behalf the notification is made by ticking the appropriate box</w:t>
      </w:r>
      <w:r w:rsidR="00CA58D3">
        <w:rPr>
          <w:rFonts w:ascii="Times New Roman" w:hAnsi="Times New Roman" w:cs="Times New Roman"/>
          <w:lang w:val="en-US"/>
        </w:rPr>
        <w:t>.</w:t>
      </w:r>
    </w:p>
    <w:p w14:paraId="034B8FF7" w14:textId="77777777" w:rsidR="00D0610F" w:rsidRPr="004B76BD" w:rsidRDefault="004B76BD" w:rsidP="004B76BD">
      <w:pPr>
        <w:rPr>
          <w:rFonts w:ascii="Times New Roman" w:hAnsi="Times New Roman" w:cs="Times New Roman"/>
          <w:b/>
          <w:lang w:val="en-US"/>
        </w:rPr>
      </w:pPr>
      <w:r>
        <w:rPr>
          <w:rFonts w:ascii="Times New Roman" w:hAnsi="Times New Roman" w:cs="Times New Roman"/>
          <w:b/>
          <w:lang w:val="en-US"/>
        </w:rPr>
        <w:t>Holder</w:t>
      </w:r>
    </w:p>
    <w:p w14:paraId="04DEA81D" w14:textId="77777777" w:rsidR="00CA53D4" w:rsidRPr="00AB6D48" w:rsidRDefault="00D0610F" w:rsidP="00D0610F">
      <w:pPr>
        <w:ind w:left="360"/>
        <w:rPr>
          <w:rFonts w:ascii="Times New Roman" w:hAnsi="Times New Roman" w:cs="Times New Roman"/>
          <w:lang w:val="en-US"/>
        </w:rPr>
      </w:pPr>
      <w:r w:rsidRPr="00AB6D48">
        <w:rPr>
          <w:rFonts w:ascii="Times New Roman" w:hAnsi="Times New Roman" w:cs="Times New Roman"/>
          <w:lang w:val="en-US"/>
        </w:rPr>
        <w:t>Name the company or person that directly or indirectly is the holder of the financial instruments subject to the notification</w:t>
      </w:r>
      <w:r w:rsidR="00CA53D4" w:rsidRPr="00AB6D48">
        <w:rPr>
          <w:rFonts w:ascii="Times New Roman" w:hAnsi="Times New Roman" w:cs="Times New Roman"/>
          <w:lang w:val="en-US"/>
        </w:rPr>
        <w:t>.</w:t>
      </w:r>
    </w:p>
    <w:p w14:paraId="6CE4088C" w14:textId="77777777" w:rsidR="00CA53D4" w:rsidRPr="004B76BD" w:rsidRDefault="004B76BD" w:rsidP="004B76BD">
      <w:pPr>
        <w:rPr>
          <w:rFonts w:ascii="Times New Roman" w:hAnsi="Times New Roman" w:cs="Times New Roman"/>
          <w:b/>
          <w:lang w:val="en-US"/>
        </w:rPr>
      </w:pPr>
      <w:r>
        <w:rPr>
          <w:rFonts w:ascii="Times New Roman" w:hAnsi="Times New Roman" w:cs="Times New Roman"/>
          <w:b/>
          <w:lang w:val="en-US"/>
        </w:rPr>
        <w:t>Instrument</w:t>
      </w:r>
    </w:p>
    <w:p w14:paraId="0328D38C" w14:textId="77777777" w:rsidR="00F127ED" w:rsidRPr="00AB6D48" w:rsidRDefault="00CA53D4" w:rsidP="00CA53D4">
      <w:pPr>
        <w:ind w:left="360"/>
        <w:rPr>
          <w:rFonts w:ascii="Times New Roman" w:hAnsi="Times New Roman" w:cs="Times New Roman"/>
          <w:lang w:val="en-US"/>
        </w:rPr>
      </w:pPr>
      <w:r w:rsidRPr="00AB6D48">
        <w:rPr>
          <w:rFonts w:ascii="Times New Roman" w:hAnsi="Times New Roman" w:cs="Times New Roman"/>
          <w:lang w:val="en-US"/>
        </w:rPr>
        <w:t>List the issuer of the share</w:t>
      </w:r>
      <w:r w:rsidR="00CA58D3">
        <w:rPr>
          <w:rFonts w:ascii="Times New Roman" w:hAnsi="Times New Roman" w:cs="Times New Roman"/>
          <w:lang w:val="en-US"/>
        </w:rPr>
        <w:t>s</w:t>
      </w:r>
      <w:r w:rsidRPr="00AB6D48">
        <w:rPr>
          <w:rFonts w:ascii="Times New Roman" w:hAnsi="Times New Roman" w:cs="Times New Roman"/>
          <w:lang w:val="en-US"/>
        </w:rPr>
        <w:t xml:space="preserve"> or</w:t>
      </w:r>
      <w:r w:rsidR="00CA58D3">
        <w:rPr>
          <w:rFonts w:ascii="Times New Roman" w:hAnsi="Times New Roman" w:cs="Times New Roman"/>
          <w:lang w:val="en-US"/>
        </w:rPr>
        <w:t xml:space="preserve"> the</w:t>
      </w:r>
      <w:r w:rsidRPr="00AB6D48">
        <w:rPr>
          <w:rFonts w:ascii="Times New Roman" w:hAnsi="Times New Roman" w:cs="Times New Roman"/>
          <w:lang w:val="en-US"/>
        </w:rPr>
        <w:t xml:space="preserve"> underlying share</w:t>
      </w:r>
      <w:r w:rsidR="00CA58D3">
        <w:rPr>
          <w:rFonts w:ascii="Times New Roman" w:hAnsi="Times New Roman" w:cs="Times New Roman"/>
          <w:lang w:val="en-US"/>
        </w:rPr>
        <w:t>s</w:t>
      </w:r>
      <w:r w:rsidRPr="00AB6D48">
        <w:rPr>
          <w:rFonts w:ascii="Times New Roman" w:hAnsi="Times New Roman" w:cs="Times New Roman"/>
          <w:lang w:val="en-US"/>
        </w:rPr>
        <w:t>. Also indicate the class of the instrument or the type of share</w:t>
      </w:r>
      <w:r w:rsidR="00C15B55">
        <w:rPr>
          <w:rFonts w:ascii="Times New Roman" w:hAnsi="Times New Roman" w:cs="Times New Roman"/>
          <w:lang w:val="en-US"/>
        </w:rPr>
        <w:t xml:space="preserve"> involved in the event that triggered the obligation to notify</w:t>
      </w:r>
      <w:r w:rsidRPr="00AB6D48">
        <w:rPr>
          <w:rFonts w:ascii="Times New Roman" w:hAnsi="Times New Roman" w:cs="Times New Roman"/>
          <w:lang w:val="en-US"/>
        </w:rPr>
        <w:t xml:space="preserve"> (</w:t>
      </w:r>
      <w:r w:rsidR="005D0F2E">
        <w:rPr>
          <w:rFonts w:ascii="Times New Roman" w:hAnsi="Times New Roman" w:cs="Times New Roman"/>
          <w:lang w:val="en-US"/>
        </w:rPr>
        <w:t>for example: call option, B share,</w:t>
      </w:r>
      <w:r w:rsidRPr="00AB6D48">
        <w:rPr>
          <w:rFonts w:ascii="Times New Roman" w:hAnsi="Times New Roman" w:cs="Times New Roman"/>
          <w:lang w:val="en-US"/>
        </w:rPr>
        <w:t xml:space="preserve"> CFD). ISIN code is optional, but</w:t>
      </w:r>
      <w:r w:rsidR="00F127ED" w:rsidRPr="00AB6D48">
        <w:rPr>
          <w:rFonts w:ascii="Times New Roman" w:hAnsi="Times New Roman" w:cs="Times New Roman"/>
          <w:lang w:val="en-US"/>
        </w:rPr>
        <w:t xml:space="preserve"> the</w:t>
      </w:r>
      <w:r w:rsidRPr="00AB6D48">
        <w:rPr>
          <w:rFonts w:ascii="Times New Roman" w:hAnsi="Times New Roman" w:cs="Times New Roman"/>
          <w:lang w:val="en-US"/>
        </w:rPr>
        <w:t xml:space="preserve"> </w:t>
      </w:r>
      <w:r w:rsidR="00F127ED" w:rsidRPr="00AB6D48">
        <w:rPr>
          <w:rFonts w:ascii="Times New Roman" w:hAnsi="Times New Roman" w:cs="Times New Roman"/>
          <w:lang w:val="en-US"/>
        </w:rPr>
        <w:t>reason for the change in holdings needs to be specified.</w:t>
      </w:r>
    </w:p>
    <w:p w14:paraId="50484D64" w14:textId="77777777" w:rsidR="0092640B" w:rsidRPr="0092640B" w:rsidRDefault="00F127ED" w:rsidP="0092640B">
      <w:pPr>
        <w:rPr>
          <w:rFonts w:ascii="Times New Roman" w:hAnsi="Times New Roman" w:cs="Times New Roman"/>
          <w:b/>
          <w:lang w:val="en-US"/>
        </w:rPr>
      </w:pPr>
      <w:r w:rsidRPr="004B76BD">
        <w:rPr>
          <w:rFonts w:ascii="Times New Roman" w:hAnsi="Times New Roman" w:cs="Times New Roman"/>
          <w:b/>
          <w:lang w:val="en-US"/>
        </w:rPr>
        <w:t>Thresh</w:t>
      </w:r>
      <w:r w:rsidR="005D0F2E">
        <w:rPr>
          <w:rFonts w:ascii="Times New Roman" w:hAnsi="Times New Roman" w:cs="Times New Roman"/>
          <w:b/>
          <w:lang w:val="en-US"/>
        </w:rPr>
        <w:t>old reached/exceeded/fa</w:t>
      </w:r>
      <w:r w:rsidR="004B76BD">
        <w:rPr>
          <w:rFonts w:ascii="Times New Roman" w:hAnsi="Times New Roman" w:cs="Times New Roman"/>
          <w:b/>
          <w:lang w:val="en-US"/>
        </w:rPr>
        <w:t>ll</w:t>
      </w:r>
      <w:r w:rsidR="005D0F2E">
        <w:rPr>
          <w:rFonts w:ascii="Times New Roman" w:hAnsi="Times New Roman" w:cs="Times New Roman"/>
          <w:b/>
          <w:lang w:val="en-US"/>
        </w:rPr>
        <w:t>en</w:t>
      </w:r>
      <w:r w:rsidR="004B76BD">
        <w:rPr>
          <w:rFonts w:ascii="Times New Roman" w:hAnsi="Times New Roman" w:cs="Times New Roman"/>
          <w:b/>
          <w:lang w:val="en-US"/>
        </w:rPr>
        <w:t xml:space="preserve"> below</w:t>
      </w:r>
    </w:p>
    <w:p w14:paraId="00CDE3A1" w14:textId="77777777" w:rsidR="0092640B" w:rsidRDefault="0092640B" w:rsidP="0092640B">
      <w:pPr>
        <w:autoSpaceDE w:val="0"/>
        <w:autoSpaceDN w:val="0"/>
        <w:adjustRightInd w:val="0"/>
        <w:spacing w:after="0" w:line="240" w:lineRule="auto"/>
        <w:rPr>
          <w:rFonts w:ascii="TimesNewRomanPSMT" w:hAnsi="TimesNewRomanPSMT" w:cs="TimesNewRomanPSMT"/>
          <w:lang w:val="en-US"/>
        </w:rPr>
      </w:pPr>
      <w:r>
        <w:rPr>
          <w:rFonts w:ascii="TimesNewRomanPSMT" w:hAnsi="TimesNewRomanPSMT" w:cs="TimesNewRomanPSMT"/>
          <w:lang w:val="en-US"/>
        </w:rPr>
        <w:t>Indicate what threshold(s) has been reached/exceeded/fallen below due to the change.</w:t>
      </w:r>
    </w:p>
    <w:p w14:paraId="271C1FEF" w14:textId="77777777" w:rsidR="00CB5C44" w:rsidRDefault="00CB5C44" w:rsidP="0092640B">
      <w:pPr>
        <w:autoSpaceDE w:val="0"/>
        <w:autoSpaceDN w:val="0"/>
        <w:adjustRightInd w:val="0"/>
        <w:spacing w:after="0" w:line="240" w:lineRule="auto"/>
        <w:rPr>
          <w:rFonts w:ascii="TimesNewRomanPSMT" w:hAnsi="TimesNewRomanPSMT" w:cs="TimesNewRomanPSMT"/>
          <w:lang w:val="en-US"/>
        </w:rPr>
      </w:pPr>
    </w:p>
    <w:p w14:paraId="75A249FD" w14:textId="77777777" w:rsidR="0092640B" w:rsidRDefault="0092640B" w:rsidP="0092640B">
      <w:pPr>
        <w:autoSpaceDE w:val="0"/>
        <w:autoSpaceDN w:val="0"/>
        <w:adjustRightInd w:val="0"/>
        <w:spacing w:after="0" w:line="240" w:lineRule="auto"/>
        <w:rPr>
          <w:rFonts w:ascii="TimesNewRomanPSMT" w:hAnsi="TimesNewRomanPSMT" w:cs="TimesNewRomanPSMT"/>
          <w:lang w:val="en-US"/>
        </w:rPr>
      </w:pPr>
      <w:r>
        <w:rPr>
          <w:rFonts w:ascii="TimesNewRomanPSMT" w:hAnsi="TimesNewRomanPSMT" w:cs="TimesNewRomanPSMT"/>
          <w:lang w:val="en-US"/>
        </w:rPr>
        <w:t>The calculation should be made in regard to the total number of shares (including buybacks), as well as the number of voting rights for the total number of shares of the issuer. If several thresholds have been reached or crossed, please tick only the last one (for example: if a disposal has resulted in the percentage of the total number of shares falling below both the 10% and the 5% thresholds, only the 5% box should be ticked). Indicate also the date on which the transaction or the event triggering the notification obligation occurred.</w:t>
      </w:r>
    </w:p>
    <w:p w14:paraId="6DFD5915" w14:textId="77777777" w:rsidR="0092640B" w:rsidRDefault="0092640B" w:rsidP="0092640B">
      <w:pPr>
        <w:autoSpaceDE w:val="0"/>
        <w:autoSpaceDN w:val="0"/>
        <w:adjustRightInd w:val="0"/>
        <w:spacing w:after="0" w:line="240" w:lineRule="auto"/>
        <w:rPr>
          <w:rFonts w:ascii="TimesNewRomanPSMT" w:hAnsi="TimesNewRomanPSMT" w:cs="TimesNewRomanPSMT"/>
          <w:lang w:val="en-US"/>
        </w:rPr>
      </w:pPr>
    </w:p>
    <w:p w14:paraId="2B4F6ED8" w14:textId="77777777" w:rsidR="0092640B" w:rsidRDefault="0092640B" w:rsidP="0092640B">
      <w:pPr>
        <w:autoSpaceDE w:val="0"/>
        <w:autoSpaceDN w:val="0"/>
        <w:adjustRightInd w:val="0"/>
        <w:spacing w:after="0" w:line="240" w:lineRule="auto"/>
        <w:rPr>
          <w:rFonts w:ascii="TimesNewRomanPSMT" w:hAnsi="TimesNewRomanPSMT" w:cs="TimesNewRomanPSMT"/>
          <w:lang w:val="en-US"/>
        </w:rPr>
      </w:pPr>
      <w:r>
        <w:rPr>
          <w:rFonts w:ascii="TimesNewRomanPSMT" w:hAnsi="TimesNewRomanPSMT" w:cs="TimesNewRomanPSMT"/>
          <w:lang w:val="en-US"/>
        </w:rPr>
        <w:t xml:space="preserve"> Note that thresholds can be reached, exceeded or fallen below following a change in:</w:t>
      </w:r>
    </w:p>
    <w:p w14:paraId="215C23D2" w14:textId="77777777" w:rsidR="0092640B" w:rsidRDefault="0092640B" w:rsidP="0092640B">
      <w:pPr>
        <w:autoSpaceDE w:val="0"/>
        <w:autoSpaceDN w:val="0"/>
        <w:adjustRightInd w:val="0"/>
        <w:spacing w:after="0" w:line="240" w:lineRule="auto"/>
        <w:rPr>
          <w:rFonts w:ascii="TimesNewRomanPSMT" w:hAnsi="TimesNewRomanPSMT" w:cs="TimesNewRomanPSMT"/>
          <w:lang w:val="en-US"/>
        </w:rPr>
      </w:pPr>
    </w:p>
    <w:p w14:paraId="5ED45335" w14:textId="784828B6" w:rsidR="0092640B" w:rsidRPr="00CB5C44" w:rsidRDefault="0092640B" w:rsidP="0092640B">
      <w:pPr>
        <w:pStyle w:val="Liststycke"/>
        <w:numPr>
          <w:ilvl w:val="0"/>
          <w:numId w:val="2"/>
        </w:numPr>
        <w:autoSpaceDE w:val="0"/>
        <w:autoSpaceDN w:val="0"/>
        <w:adjustRightInd w:val="0"/>
        <w:spacing w:after="0" w:line="240" w:lineRule="auto"/>
        <w:rPr>
          <w:rFonts w:ascii="TimesNewRomanPSMT" w:hAnsi="TimesNewRomanPSMT" w:cs="TimesNewRomanPSMT"/>
          <w:lang w:val="en-US"/>
        </w:rPr>
      </w:pPr>
      <w:r>
        <w:rPr>
          <w:rFonts w:ascii="TimesNewRomanPSMT" w:hAnsi="TimesNewRomanPSMT" w:cs="TimesNewRomanPSMT"/>
          <w:lang w:val="en-US"/>
        </w:rPr>
        <w:t>holdings in shares and such depositary receipts as those referenced under footnote 1</w:t>
      </w:r>
    </w:p>
    <w:p w14:paraId="2CA21E89" w14:textId="63E18F96" w:rsidR="0092640B" w:rsidRPr="00CB5C44" w:rsidRDefault="0092640B" w:rsidP="00CB5C44">
      <w:pPr>
        <w:pStyle w:val="Liststycke"/>
        <w:numPr>
          <w:ilvl w:val="0"/>
          <w:numId w:val="2"/>
        </w:numPr>
        <w:autoSpaceDE w:val="0"/>
        <w:autoSpaceDN w:val="0"/>
        <w:adjustRightInd w:val="0"/>
        <w:spacing w:after="0" w:line="240" w:lineRule="auto"/>
        <w:rPr>
          <w:rFonts w:ascii="TimesNewRomanPSMT" w:hAnsi="TimesNewRomanPSMT" w:cs="TimesNewRomanPSMT"/>
          <w:lang w:val="en-US"/>
        </w:rPr>
      </w:pPr>
      <w:r>
        <w:rPr>
          <w:rFonts w:ascii="TimesNewRomanPSMT" w:hAnsi="TimesNewRomanPSMT" w:cs="TimesNewRomanPSMT"/>
          <w:lang w:val="en-US"/>
        </w:rPr>
        <w:t>aggregated holdings in financial instruments referenced under footnotes 2 and 3</w:t>
      </w:r>
    </w:p>
    <w:p w14:paraId="0725A857" w14:textId="1238BFB4" w:rsidR="0092640B" w:rsidRPr="00CB5C44" w:rsidRDefault="0092640B" w:rsidP="00CB5C44">
      <w:pPr>
        <w:pStyle w:val="Liststycke"/>
        <w:numPr>
          <w:ilvl w:val="0"/>
          <w:numId w:val="2"/>
        </w:numPr>
        <w:autoSpaceDE w:val="0"/>
        <w:autoSpaceDN w:val="0"/>
        <w:adjustRightInd w:val="0"/>
        <w:spacing w:after="0" w:line="240" w:lineRule="auto"/>
        <w:rPr>
          <w:rFonts w:ascii="TimesNewRomanPSMT" w:hAnsi="TimesNewRomanPSMT" w:cs="TimesNewRomanPSMT"/>
          <w:lang w:val="en-US"/>
        </w:rPr>
      </w:pPr>
      <w:r>
        <w:rPr>
          <w:rFonts w:ascii="TimesNewRomanPSMT" w:hAnsi="TimesNewRomanPSMT" w:cs="TimesNewRomanPSMT"/>
          <w:lang w:val="en-US"/>
        </w:rPr>
        <w:t>aggregated holdings in shares, depositary receipts referenced under footnote 1, and financial instruments referenced under footnotes 2 and 3, or</w:t>
      </w:r>
    </w:p>
    <w:p w14:paraId="4AB7C9A7" w14:textId="77777777" w:rsidR="0092640B" w:rsidRDefault="0092640B" w:rsidP="0092640B">
      <w:pPr>
        <w:pStyle w:val="Liststycke"/>
        <w:numPr>
          <w:ilvl w:val="0"/>
          <w:numId w:val="2"/>
        </w:numPr>
        <w:autoSpaceDE w:val="0"/>
        <w:autoSpaceDN w:val="0"/>
        <w:adjustRightInd w:val="0"/>
        <w:spacing w:after="0" w:line="240" w:lineRule="auto"/>
        <w:rPr>
          <w:rFonts w:ascii="TimesNewRomanPSMT" w:hAnsi="TimesNewRomanPSMT" w:cs="TimesNewRomanPSMT"/>
          <w:lang w:val="en-US"/>
        </w:rPr>
      </w:pPr>
      <w:r>
        <w:rPr>
          <w:rFonts w:ascii="TimesNewRomanPSMT" w:hAnsi="TimesNewRomanPSMT" w:cs="TimesNewRomanPSMT"/>
          <w:lang w:val="en-US"/>
        </w:rPr>
        <w:t>the total number of shares or voting rights of the issuer (following a share issue for example). This could potentially result in a dilution of holdings under either a), b) or c), thereby causing the holder to passively fall below a notification threshold.</w:t>
      </w:r>
    </w:p>
    <w:p w14:paraId="07BFE06A" w14:textId="77777777" w:rsidR="0092640B" w:rsidRPr="0092640B" w:rsidRDefault="0092640B" w:rsidP="0092640B">
      <w:pPr>
        <w:pStyle w:val="Liststycke"/>
        <w:rPr>
          <w:rFonts w:ascii="TimesNewRomanPSMT" w:hAnsi="TimesNewRomanPSMT" w:cs="TimesNewRomanPSMT"/>
          <w:lang w:val="en-US"/>
        </w:rPr>
      </w:pPr>
    </w:p>
    <w:p w14:paraId="671106B1" w14:textId="77777777" w:rsidR="0092640B" w:rsidRDefault="0092640B" w:rsidP="0092640B">
      <w:pPr>
        <w:pStyle w:val="Liststycke"/>
        <w:autoSpaceDE w:val="0"/>
        <w:autoSpaceDN w:val="0"/>
        <w:adjustRightInd w:val="0"/>
        <w:spacing w:after="0" w:line="240" w:lineRule="auto"/>
        <w:rPr>
          <w:rFonts w:ascii="TimesNewRomanPSMT" w:hAnsi="TimesNewRomanPSMT" w:cs="TimesNewRomanPSMT"/>
          <w:lang w:val="en-US"/>
        </w:rPr>
      </w:pPr>
      <w:r>
        <w:rPr>
          <w:rFonts w:ascii="TimesNewRomanPSMT" w:hAnsi="TimesNewRomanPSMT" w:cs="TimesNewRomanPSMT"/>
          <w:lang w:val="en-US"/>
        </w:rPr>
        <w:t xml:space="preserve">   </w:t>
      </w:r>
    </w:p>
    <w:p w14:paraId="133A9962" w14:textId="77777777" w:rsidR="00F57990" w:rsidRPr="004B76BD" w:rsidRDefault="002C7479" w:rsidP="004B76BD">
      <w:pPr>
        <w:rPr>
          <w:rFonts w:ascii="Times New Roman" w:hAnsi="Times New Roman" w:cs="Times New Roman"/>
          <w:b/>
          <w:lang w:val="en-US"/>
        </w:rPr>
      </w:pPr>
      <w:r w:rsidRPr="004B76BD">
        <w:rPr>
          <w:rFonts w:ascii="Times New Roman" w:hAnsi="Times New Roman" w:cs="Times New Roman"/>
          <w:b/>
          <w:lang w:val="en-US"/>
        </w:rPr>
        <w:t>Holdings</w:t>
      </w:r>
      <w:r w:rsidR="00F57990" w:rsidRPr="004B76BD">
        <w:rPr>
          <w:rFonts w:ascii="Times New Roman" w:hAnsi="Times New Roman" w:cs="Times New Roman"/>
          <w:b/>
          <w:lang w:val="en-US"/>
        </w:rPr>
        <w:t xml:space="preserve"> of shares or </w:t>
      </w:r>
      <w:r w:rsidR="00310A74">
        <w:rPr>
          <w:rFonts w:ascii="Times New Roman" w:hAnsi="Times New Roman" w:cs="Times New Roman"/>
          <w:b/>
          <w:lang w:val="en-US"/>
        </w:rPr>
        <w:t>deposita</w:t>
      </w:r>
      <w:r w:rsidR="004B76BD">
        <w:rPr>
          <w:rFonts w:ascii="Times New Roman" w:hAnsi="Times New Roman" w:cs="Times New Roman"/>
          <w:b/>
          <w:lang w:val="en-US"/>
        </w:rPr>
        <w:t>ry receipts</w:t>
      </w:r>
    </w:p>
    <w:p w14:paraId="1D88BAF1" w14:textId="261F1291" w:rsidR="00CB5C44" w:rsidRDefault="002C7479" w:rsidP="00CB5C44">
      <w:pPr>
        <w:ind w:left="360"/>
        <w:rPr>
          <w:rFonts w:ascii="Times New Roman" w:hAnsi="Times New Roman" w:cs="Times New Roman"/>
          <w:lang w:val="en-US"/>
        </w:rPr>
      </w:pPr>
      <w:r>
        <w:rPr>
          <w:rFonts w:ascii="Times New Roman" w:hAnsi="Times New Roman" w:cs="Times New Roman"/>
          <w:lang w:val="en-US"/>
        </w:rPr>
        <w:t>T</w:t>
      </w:r>
      <w:r w:rsidR="00C15B55">
        <w:rPr>
          <w:rFonts w:ascii="Times New Roman" w:hAnsi="Times New Roman" w:cs="Times New Roman"/>
          <w:lang w:val="en-US"/>
        </w:rPr>
        <w:t>his section is</w:t>
      </w:r>
      <w:r w:rsidR="00CA58D3">
        <w:rPr>
          <w:rFonts w:ascii="Times New Roman" w:hAnsi="Times New Roman" w:cs="Times New Roman"/>
          <w:lang w:val="en-US"/>
        </w:rPr>
        <w:t xml:space="preserve"> intended for details of </w:t>
      </w:r>
      <w:r w:rsidR="00E17011">
        <w:rPr>
          <w:rFonts w:ascii="Times New Roman" w:hAnsi="Times New Roman" w:cs="Times New Roman"/>
          <w:lang w:val="en-US"/>
        </w:rPr>
        <w:t>holdings</w:t>
      </w:r>
      <w:r w:rsidR="00CA58D3">
        <w:rPr>
          <w:rFonts w:ascii="Times New Roman" w:hAnsi="Times New Roman" w:cs="Times New Roman"/>
          <w:lang w:val="en-US"/>
        </w:rPr>
        <w:t xml:space="preserve"> </w:t>
      </w:r>
      <w:r w:rsidR="003A690B">
        <w:rPr>
          <w:rFonts w:ascii="Times New Roman" w:hAnsi="Times New Roman" w:cs="Times New Roman"/>
          <w:lang w:val="en-US"/>
        </w:rPr>
        <w:t>under Article 9 and 10 of the Transparency Directive (2004/109/EC), which is to say</w:t>
      </w:r>
      <w:r w:rsidR="00D033C0">
        <w:rPr>
          <w:rFonts w:ascii="Times New Roman" w:hAnsi="Times New Roman" w:cs="Times New Roman"/>
          <w:lang w:val="en-US"/>
        </w:rPr>
        <w:t xml:space="preserve"> </w:t>
      </w:r>
      <w:r w:rsidR="003A690B">
        <w:rPr>
          <w:rFonts w:ascii="Times New Roman" w:hAnsi="Times New Roman" w:cs="Times New Roman"/>
          <w:lang w:val="en-US"/>
        </w:rPr>
        <w:t>direct and indirect holdings of shares</w:t>
      </w:r>
      <w:r w:rsidR="00310A74">
        <w:rPr>
          <w:rFonts w:ascii="Times New Roman" w:hAnsi="Times New Roman" w:cs="Times New Roman"/>
          <w:lang w:val="en-US"/>
        </w:rPr>
        <w:t>,</w:t>
      </w:r>
      <w:r w:rsidR="003A690B">
        <w:rPr>
          <w:rFonts w:ascii="Times New Roman" w:hAnsi="Times New Roman" w:cs="Times New Roman"/>
          <w:lang w:val="en-US"/>
        </w:rPr>
        <w:t xml:space="preserve"> and </w:t>
      </w:r>
      <w:r w:rsidR="00310A74">
        <w:rPr>
          <w:rFonts w:ascii="Times New Roman" w:hAnsi="Times New Roman" w:cs="Times New Roman"/>
          <w:lang w:val="en-US"/>
        </w:rPr>
        <w:t>depositary receipts</w:t>
      </w:r>
      <w:r w:rsidR="003A690B">
        <w:rPr>
          <w:rFonts w:ascii="Times New Roman" w:hAnsi="Times New Roman" w:cs="Times New Roman"/>
          <w:lang w:val="en-US"/>
        </w:rPr>
        <w:t xml:space="preserve"> granting the holder the right to</w:t>
      </w:r>
      <w:r w:rsidR="00D033C0">
        <w:rPr>
          <w:rFonts w:ascii="Times New Roman" w:hAnsi="Times New Roman" w:cs="Times New Roman"/>
          <w:lang w:val="en-US"/>
        </w:rPr>
        <w:t xml:space="preserve"> vote for the referenced shares (see also footnote 1).</w:t>
      </w:r>
    </w:p>
    <w:p w14:paraId="07DCC6BE" w14:textId="77777777" w:rsidR="00D033C0" w:rsidRPr="004B76BD" w:rsidRDefault="00D033C0" w:rsidP="004B76BD">
      <w:pPr>
        <w:rPr>
          <w:b/>
          <w:lang w:val="en-US"/>
        </w:rPr>
      </w:pPr>
      <w:r w:rsidRPr="004B76BD">
        <w:rPr>
          <w:rFonts w:ascii="Times New Roman" w:hAnsi="Times New Roman" w:cs="Times New Roman"/>
          <w:b/>
          <w:lang w:val="en-US"/>
        </w:rPr>
        <w:t>Resulting</w:t>
      </w:r>
      <w:r w:rsidR="004B76BD">
        <w:rPr>
          <w:rFonts w:ascii="Times New Roman" w:hAnsi="Times New Roman" w:cs="Times New Roman"/>
          <w:b/>
          <w:lang w:val="en-US"/>
        </w:rPr>
        <w:t xml:space="preserve"> distribution of total holdings</w:t>
      </w:r>
    </w:p>
    <w:p w14:paraId="3BC120B8" w14:textId="77777777" w:rsidR="00BB04E5" w:rsidRDefault="00D414E8" w:rsidP="00D033C0">
      <w:pPr>
        <w:ind w:left="360"/>
        <w:rPr>
          <w:rFonts w:ascii="Times New Roman" w:hAnsi="Times New Roman" w:cs="Times New Roman"/>
          <w:lang w:val="en-US"/>
        </w:rPr>
      </w:pPr>
      <w:r>
        <w:rPr>
          <w:rFonts w:ascii="Times New Roman" w:hAnsi="Times New Roman" w:cs="Times New Roman"/>
          <w:lang w:val="en-US"/>
        </w:rPr>
        <w:t>Specify details of the</w:t>
      </w:r>
      <w:r w:rsidR="00183B13">
        <w:rPr>
          <w:rFonts w:ascii="Times New Roman" w:hAnsi="Times New Roman" w:cs="Times New Roman"/>
          <w:lang w:val="en-US"/>
        </w:rPr>
        <w:t xml:space="preserve"> resulting distribution of</w:t>
      </w:r>
      <w:r>
        <w:rPr>
          <w:rFonts w:ascii="Times New Roman" w:hAnsi="Times New Roman" w:cs="Times New Roman"/>
          <w:lang w:val="en-US"/>
        </w:rPr>
        <w:t xml:space="preserve"> holdings</w:t>
      </w:r>
      <w:r w:rsidR="00CC3268">
        <w:rPr>
          <w:rFonts w:ascii="Times New Roman" w:hAnsi="Times New Roman" w:cs="Times New Roman"/>
          <w:lang w:val="en-US"/>
        </w:rPr>
        <w:t>,</w:t>
      </w:r>
      <w:r w:rsidR="00183B13">
        <w:rPr>
          <w:rFonts w:ascii="Times New Roman" w:hAnsi="Times New Roman" w:cs="Times New Roman"/>
          <w:lang w:val="en-US"/>
        </w:rPr>
        <w:t xml:space="preserve"> following the transaction or event that triggered the obligation to notify</w:t>
      </w:r>
      <w:r>
        <w:rPr>
          <w:rFonts w:ascii="Times New Roman" w:hAnsi="Times New Roman" w:cs="Times New Roman"/>
          <w:lang w:val="en-US"/>
        </w:rPr>
        <w:t xml:space="preserve">. </w:t>
      </w:r>
      <w:r w:rsidR="00181A1D">
        <w:rPr>
          <w:rFonts w:ascii="Times New Roman" w:hAnsi="Times New Roman" w:cs="Times New Roman"/>
          <w:lang w:val="en-US"/>
        </w:rPr>
        <w:t xml:space="preserve">If the </w:t>
      </w:r>
      <w:r w:rsidR="00E17011">
        <w:rPr>
          <w:rFonts w:ascii="Times New Roman" w:hAnsi="Times New Roman" w:cs="Times New Roman"/>
          <w:lang w:val="en-US"/>
        </w:rPr>
        <w:t>holdings</w:t>
      </w:r>
      <w:r w:rsidR="00181A1D">
        <w:rPr>
          <w:rFonts w:ascii="Times New Roman" w:hAnsi="Times New Roman" w:cs="Times New Roman"/>
          <w:lang w:val="en-US"/>
        </w:rPr>
        <w:t xml:space="preserve"> include financial instruments referenc</w:t>
      </w:r>
      <w:r w:rsidR="009B3B52">
        <w:rPr>
          <w:rFonts w:ascii="Times New Roman" w:hAnsi="Times New Roman" w:cs="Times New Roman"/>
          <w:lang w:val="en-US"/>
        </w:rPr>
        <w:t xml:space="preserve">ed under footnote 2 or 3, the information must contain a breakdown of </w:t>
      </w:r>
      <w:r w:rsidR="00780779">
        <w:rPr>
          <w:rFonts w:ascii="Times New Roman" w:hAnsi="Times New Roman" w:cs="Times New Roman"/>
          <w:lang w:val="en-US"/>
        </w:rPr>
        <w:t xml:space="preserve">the </w:t>
      </w:r>
      <w:r w:rsidR="009B3B52">
        <w:rPr>
          <w:rFonts w:ascii="Times New Roman" w:hAnsi="Times New Roman" w:cs="Times New Roman"/>
          <w:lang w:val="en-US"/>
        </w:rPr>
        <w:t xml:space="preserve">category </w:t>
      </w:r>
      <w:r w:rsidR="00780779">
        <w:rPr>
          <w:rFonts w:ascii="Times New Roman" w:hAnsi="Times New Roman" w:cs="Times New Roman"/>
          <w:lang w:val="en-US"/>
        </w:rPr>
        <w:t xml:space="preserve">to which the </w:t>
      </w:r>
      <w:r w:rsidR="009B3B52">
        <w:rPr>
          <w:rFonts w:ascii="Times New Roman" w:hAnsi="Times New Roman" w:cs="Times New Roman"/>
          <w:lang w:val="en-US"/>
        </w:rPr>
        <w:lastRenderedPageBreak/>
        <w:t>instruments belong. If</w:t>
      </w:r>
      <w:r w:rsidR="00780779">
        <w:rPr>
          <w:rFonts w:ascii="Times New Roman" w:hAnsi="Times New Roman" w:cs="Times New Roman"/>
          <w:lang w:val="en-US"/>
        </w:rPr>
        <w:t xml:space="preserve"> the instrument belongs to </w:t>
      </w:r>
      <w:r w:rsidR="009B3B52">
        <w:rPr>
          <w:rFonts w:ascii="Times New Roman" w:hAnsi="Times New Roman" w:cs="Times New Roman"/>
          <w:lang w:val="en-US"/>
        </w:rPr>
        <w:t xml:space="preserve">the category referenced in footnote 3, </w:t>
      </w:r>
      <w:r w:rsidR="00780779">
        <w:rPr>
          <w:rFonts w:ascii="Times New Roman" w:hAnsi="Times New Roman" w:cs="Times New Roman"/>
          <w:lang w:val="en-US"/>
        </w:rPr>
        <w:t>it is also necessary</w:t>
      </w:r>
      <w:r w:rsidR="009B3B52">
        <w:rPr>
          <w:rFonts w:ascii="Times New Roman" w:hAnsi="Times New Roman" w:cs="Times New Roman"/>
          <w:lang w:val="en-US"/>
        </w:rPr>
        <w:t xml:space="preserve"> to make a distinction between the instruments that confer a right to physical settlement and the ones that are subject to cash settlement. P</w:t>
      </w:r>
      <w:r w:rsidR="009553A4">
        <w:rPr>
          <w:rFonts w:ascii="Times New Roman" w:hAnsi="Times New Roman" w:cs="Times New Roman"/>
          <w:lang w:val="en-US"/>
        </w:rPr>
        <w:t>lease note that it is the number</w:t>
      </w:r>
      <w:r w:rsidR="009B3B52">
        <w:rPr>
          <w:rFonts w:ascii="Times New Roman" w:hAnsi="Times New Roman" w:cs="Times New Roman"/>
          <w:lang w:val="en-US"/>
        </w:rPr>
        <w:t xml:space="preserve"> of shares and underlying shares held through these instruments that are to be specified</w:t>
      </w:r>
      <w:r w:rsidR="00BB04E5">
        <w:rPr>
          <w:rFonts w:ascii="Times New Roman" w:hAnsi="Times New Roman" w:cs="Times New Roman"/>
          <w:lang w:val="en-US"/>
        </w:rPr>
        <w:t xml:space="preserve"> in the second </w:t>
      </w:r>
      <w:r w:rsidR="009553A4">
        <w:rPr>
          <w:rFonts w:ascii="Times New Roman" w:hAnsi="Times New Roman" w:cs="Times New Roman"/>
          <w:lang w:val="en-US"/>
        </w:rPr>
        <w:t>box</w:t>
      </w:r>
      <w:r w:rsidR="00700AA9">
        <w:rPr>
          <w:rFonts w:ascii="Times New Roman" w:hAnsi="Times New Roman" w:cs="Times New Roman"/>
          <w:lang w:val="en-US"/>
        </w:rPr>
        <w:t>.</w:t>
      </w:r>
      <w:r w:rsidR="008908ED">
        <w:rPr>
          <w:rFonts w:ascii="Times New Roman" w:hAnsi="Times New Roman" w:cs="Times New Roman"/>
          <w:lang w:val="en-US"/>
        </w:rPr>
        <w:t xml:space="preserve"> </w:t>
      </w:r>
      <w:r w:rsidR="00CC3268">
        <w:rPr>
          <w:rFonts w:ascii="Times New Roman" w:hAnsi="Times New Roman" w:cs="Times New Roman"/>
          <w:lang w:val="en-US"/>
        </w:rPr>
        <w:t>T</w:t>
      </w:r>
      <w:r w:rsidR="008908ED">
        <w:rPr>
          <w:rFonts w:ascii="Times New Roman" w:hAnsi="Times New Roman" w:cs="Times New Roman"/>
          <w:lang w:val="en-US"/>
        </w:rPr>
        <w:t>he</w:t>
      </w:r>
      <w:r w:rsidR="00CC3268">
        <w:rPr>
          <w:rFonts w:ascii="Times New Roman" w:hAnsi="Times New Roman" w:cs="Times New Roman"/>
          <w:lang w:val="en-US"/>
        </w:rPr>
        <w:t xml:space="preserve"> resulting</w:t>
      </w:r>
      <w:r w:rsidR="008908ED">
        <w:rPr>
          <w:rFonts w:ascii="Times New Roman" w:hAnsi="Times New Roman" w:cs="Times New Roman"/>
          <w:lang w:val="en-US"/>
        </w:rPr>
        <w:t xml:space="preserve"> distribution of h</w:t>
      </w:r>
      <w:r w:rsidR="00CC3268">
        <w:rPr>
          <w:rFonts w:ascii="Times New Roman" w:hAnsi="Times New Roman" w:cs="Times New Roman"/>
          <w:lang w:val="en-US"/>
        </w:rPr>
        <w:t>oldings in all three</w:t>
      </w:r>
      <w:r w:rsidR="008908ED">
        <w:rPr>
          <w:rFonts w:ascii="Times New Roman" w:hAnsi="Times New Roman" w:cs="Times New Roman"/>
          <w:lang w:val="en-US"/>
        </w:rPr>
        <w:t xml:space="preserve"> cat</w:t>
      </w:r>
      <w:r w:rsidR="00CC3268">
        <w:rPr>
          <w:rFonts w:ascii="Times New Roman" w:hAnsi="Times New Roman" w:cs="Times New Roman"/>
          <w:lang w:val="en-US"/>
        </w:rPr>
        <w:t xml:space="preserve">egories should be accounted for.   </w:t>
      </w:r>
      <w:r w:rsidR="00700AA9">
        <w:rPr>
          <w:rFonts w:ascii="Times New Roman" w:hAnsi="Times New Roman" w:cs="Times New Roman"/>
          <w:lang w:val="en-US"/>
        </w:rPr>
        <w:t xml:space="preserve"> </w:t>
      </w:r>
    </w:p>
    <w:p w14:paraId="7B11076F" w14:textId="77777777" w:rsidR="00BB04E5" w:rsidRPr="004B76BD" w:rsidRDefault="00BB04E5" w:rsidP="004B76BD">
      <w:pPr>
        <w:rPr>
          <w:b/>
          <w:lang w:val="en-US"/>
        </w:rPr>
      </w:pPr>
      <w:r w:rsidRPr="004B76BD">
        <w:rPr>
          <w:rFonts w:ascii="Times New Roman" w:hAnsi="Times New Roman" w:cs="Times New Roman"/>
          <w:b/>
          <w:lang w:val="en-US"/>
        </w:rPr>
        <w:t>When voting by proxy, the form</w:t>
      </w:r>
      <w:r w:rsidR="004B76BD">
        <w:rPr>
          <w:rFonts w:ascii="Times New Roman" w:hAnsi="Times New Roman" w:cs="Times New Roman"/>
          <w:b/>
          <w:lang w:val="en-US"/>
        </w:rPr>
        <w:t>er holders of voting rights are</w:t>
      </w:r>
    </w:p>
    <w:p w14:paraId="5757304C" w14:textId="77777777" w:rsidR="00DC583C" w:rsidRDefault="00BB04E5" w:rsidP="00BB04E5">
      <w:pPr>
        <w:ind w:left="360"/>
        <w:rPr>
          <w:rFonts w:ascii="Times New Roman" w:hAnsi="Times New Roman" w:cs="Times New Roman"/>
          <w:lang w:val="en-US"/>
        </w:rPr>
      </w:pPr>
      <w:r>
        <w:rPr>
          <w:rFonts w:ascii="Times New Roman" w:hAnsi="Times New Roman" w:cs="Times New Roman"/>
          <w:lang w:val="en-US"/>
        </w:rPr>
        <w:t xml:space="preserve">If the holdings include rights to vote by proxy, this is to be detailed here. If the end date of this arrangement is not specified, an additional notification could be required </w:t>
      </w:r>
      <w:r w:rsidR="00DC583C">
        <w:rPr>
          <w:rFonts w:ascii="Times New Roman" w:hAnsi="Times New Roman" w:cs="Times New Roman"/>
          <w:lang w:val="en-US"/>
        </w:rPr>
        <w:t>once the agreement has ended.</w:t>
      </w:r>
    </w:p>
    <w:p w14:paraId="46E4C0EE" w14:textId="77777777" w:rsidR="00DC583C" w:rsidRPr="004B76BD" w:rsidRDefault="005D0F2E" w:rsidP="004B76BD">
      <w:pPr>
        <w:rPr>
          <w:b/>
          <w:lang w:val="en-US"/>
        </w:rPr>
      </w:pPr>
      <w:r>
        <w:rPr>
          <w:rFonts w:ascii="Times New Roman" w:hAnsi="Times New Roman" w:cs="Times New Roman"/>
          <w:b/>
          <w:lang w:val="en-US"/>
        </w:rPr>
        <w:t>Chain of controlling companies</w:t>
      </w:r>
    </w:p>
    <w:p w14:paraId="50CA44D3" w14:textId="77777777" w:rsidR="00DC583C" w:rsidRDefault="00DC583C" w:rsidP="00DC583C">
      <w:pPr>
        <w:ind w:left="360"/>
        <w:rPr>
          <w:rFonts w:ascii="Times New Roman" w:hAnsi="Times New Roman" w:cs="Times New Roman"/>
          <w:lang w:val="en-US"/>
        </w:rPr>
      </w:pPr>
      <w:r>
        <w:rPr>
          <w:rFonts w:ascii="Times New Roman" w:hAnsi="Times New Roman" w:cs="Times New Roman"/>
          <w:lang w:val="en-US"/>
        </w:rPr>
        <w:t>If voting rights are held indirectly</w:t>
      </w:r>
      <w:r w:rsidR="00780779">
        <w:rPr>
          <w:rFonts w:ascii="Times New Roman" w:hAnsi="Times New Roman" w:cs="Times New Roman"/>
          <w:lang w:val="en-US"/>
        </w:rPr>
        <w:t>,</w:t>
      </w:r>
      <w:r w:rsidR="00232815">
        <w:rPr>
          <w:rFonts w:ascii="Times New Roman" w:hAnsi="Times New Roman" w:cs="Times New Roman"/>
          <w:lang w:val="en-US"/>
        </w:rPr>
        <w:t xml:space="preserve"> for example</w:t>
      </w:r>
      <w:r w:rsidR="00780779">
        <w:rPr>
          <w:rFonts w:ascii="Times New Roman" w:hAnsi="Times New Roman" w:cs="Times New Roman"/>
          <w:lang w:val="en-US"/>
        </w:rPr>
        <w:t xml:space="preserve"> through</w:t>
      </w:r>
      <w:r w:rsidR="00FA658F">
        <w:rPr>
          <w:rFonts w:ascii="Times New Roman" w:hAnsi="Times New Roman" w:cs="Times New Roman"/>
          <w:lang w:val="en-US"/>
        </w:rPr>
        <w:t xml:space="preserve"> </w:t>
      </w:r>
      <w:r>
        <w:rPr>
          <w:rFonts w:ascii="Times New Roman" w:hAnsi="Times New Roman" w:cs="Times New Roman"/>
          <w:lang w:val="en-US"/>
        </w:rPr>
        <w:t xml:space="preserve">subsidiaries, the chain of control needs to be accounted for in this section.  </w:t>
      </w:r>
      <w:r w:rsidR="00BB04E5" w:rsidRPr="00DC583C">
        <w:rPr>
          <w:rFonts w:ascii="Times New Roman" w:hAnsi="Times New Roman" w:cs="Times New Roman"/>
          <w:lang w:val="en-US"/>
        </w:rPr>
        <w:t xml:space="preserve"> </w:t>
      </w:r>
    </w:p>
    <w:p w14:paraId="7ABF2EBC" w14:textId="77777777" w:rsidR="00DC583C" w:rsidRPr="005D0F2E" w:rsidRDefault="005D0F2E" w:rsidP="005D0F2E">
      <w:pPr>
        <w:rPr>
          <w:b/>
          <w:lang w:val="en-US"/>
        </w:rPr>
      </w:pPr>
      <w:r>
        <w:rPr>
          <w:rFonts w:ascii="Times New Roman" w:hAnsi="Times New Roman" w:cs="Times New Roman"/>
          <w:b/>
          <w:lang w:val="en-US"/>
        </w:rPr>
        <w:t>Total group holdings</w:t>
      </w:r>
    </w:p>
    <w:p w14:paraId="1370EB92" w14:textId="77777777" w:rsidR="004E74EF" w:rsidRDefault="00232815" w:rsidP="00DC583C">
      <w:pPr>
        <w:ind w:left="360"/>
        <w:rPr>
          <w:rFonts w:ascii="Times New Roman" w:hAnsi="Times New Roman" w:cs="Times New Roman"/>
          <w:lang w:val="en-US"/>
        </w:rPr>
      </w:pPr>
      <w:r>
        <w:rPr>
          <w:rFonts w:ascii="Times New Roman" w:hAnsi="Times New Roman" w:cs="Times New Roman"/>
          <w:lang w:val="en-US"/>
        </w:rPr>
        <w:t>Holdings listed in the previous section added to direct holdings.</w:t>
      </w:r>
    </w:p>
    <w:p w14:paraId="6E09EA85" w14:textId="77777777" w:rsidR="004E74EF" w:rsidRPr="005D0F2E" w:rsidRDefault="005D0F2E" w:rsidP="005D0F2E">
      <w:pPr>
        <w:rPr>
          <w:b/>
          <w:lang w:val="en-US"/>
        </w:rPr>
      </w:pPr>
      <w:r>
        <w:rPr>
          <w:rFonts w:ascii="Times New Roman" w:hAnsi="Times New Roman" w:cs="Times New Roman"/>
          <w:b/>
          <w:lang w:val="en-US"/>
        </w:rPr>
        <w:t>Identity of the holder</w:t>
      </w:r>
    </w:p>
    <w:p w14:paraId="0D76F026" w14:textId="77777777" w:rsidR="004E74EF" w:rsidRDefault="004E74EF" w:rsidP="004E74EF">
      <w:pPr>
        <w:ind w:left="360"/>
        <w:rPr>
          <w:rFonts w:ascii="Times New Roman" w:hAnsi="Times New Roman" w:cs="Times New Roman"/>
          <w:lang w:val="en-US"/>
        </w:rPr>
      </w:pPr>
      <w:r>
        <w:rPr>
          <w:rFonts w:ascii="Times New Roman" w:hAnsi="Times New Roman" w:cs="Times New Roman"/>
          <w:lang w:val="en-US"/>
        </w:rPr>
        <w:t>Provide further information as to the identity of the holder, as well as contact in</w:t>
      </w:r>
      <w:r w:rsidR="00232815">
        <w:rPr>
          <w:rFonts w:ascii="Times New Roman" w:hAnsi="Times New Roman" w:cs="Times New Roman"/>
          <w:lang w:val="en-US"/>
        </w:rPr>
        <w:t>formation to the holder or notifier (if different from holder)</w:t>
      </w:r>
      <w:r>
        <w:rPr>
          <w:rFonts w:ascii="Times New Roman" w:hAnsi="Times New Roman" w:cs="Times New Roman"/>
          <w:lang w:val="en-US"/>
        </w:rPr>
        <w:t>.</w:t>
      </w:r>
    </w:p>
    <w:p w14:paraId="26E790C9" w14:textId="77777777" w:rsidR="004E74EF" w:rsidRPr="005D0F2E" w:rsidRDefault="005D0F2E" w:rsidP="005D0F2E">
      <w:pPr>
        <w:rPr>
          <w:rFonts w:ascii="Times New Roman" w:hAnsi="Times New Roman" w:cs="Times New Roman"/>
          <w:b/>
          <w:lang w:val="en-US"/>
        </w:rPr>
      </w:pPr>
      <w:r>
        <w:rPr>
          <w:rFonts w:ascii="Times New Roman" w:hAnsi="Times New Roman" w:cs="Times New Roman"/>
          <w:b/>
          <w:lang w:val="en-US"/>
        </w:rPr>
        <w:t>Signature</w:t>
      </w:r>
    </w:p>
    <w:p w14:paraId="1CAA4497" w14:textId="77777777" w:rsidR="00D0610F" w:rsidRPr="004E74EF" w:rsidRDefault="004E74EF" w:rsidP="004E74EF">
      <w:pPr>
        <w:ind w:left="360"/>
        <w:rPr>
          <w:rFonts w:ascii="Times New Roman" w:hAnsi="Times New Roman" w:cs="Times New Roman"/>
          <w:lang w:val="en-US"/>
        </w:rPr>
      </w:pPr>
      <w:r>
        <w:rPr>
          <w:rFonts w:ascii="Times New Roman" w:hAnsi="Times New Roman" w:cs="Times New Roman"/>
          <w:lang w:val="en-US"/>
        </w:rPr>
        <w:t>This information is required in order for the notification to be considered complete.</w:t>
      </w:r>
      <w:r w:rsidR="009B3B52" w:rsidRPr="004E74EF">
        <w:rPr>
          <w:rFonts w:ascii="Times New Roman" w:hAnsi="Times New Roman" w:cs="Times New Roman"/>
          <w:lang w:val="en-US"/>
        </w:rPr>
        <w:t xml:space="preserve">  </w:t>
      </w:r>
      <w:r w:rsidR="00181A1D" w:rsidRPr="004E74EF">
        <w:rPr>
          <w:rFonts w:ascii="Times New Roman" w:hAnsi="Times New Roman" w:cs="Times New Roman"/>
          <w:lang w:val="en-US"/>
        </w:rPr>
        <w:t xml:space="preserve"> </w:t>
      </w:r>
      <w:r w:rsidR="00D414E8" w:rsidRPr="004E74EF">
        <w:rPr>
          <w:rFonts w:ascii="Times New Roman" w:hAnsi="Times New Roman" w:cs="Times New Roman"/>
          <w:lang w:val="en-US"/>
        </w:rPr>
        <w:t xml:space="preserve"> </w:t>
      </w:r>
      <w:r w:rsidR="003A690B" w:rsidRPr="004E74EF">
        <w:rPr>
          <w:rFonts w:ascii="Times New Roman" w:hAnsi="Times New Roman" w:cs="Times New Roman"/>
          <w:lang w:val="en-US"/>
        </w:rPr>
        <w:t xml:space="preserve"> </w:t>
      </w:r>
      <w:r w:rsidR="00CA53D4" w:rsidRPr="004E74EF">
        <w:rPr>
          <w:lang w:val="en-US"/>
        </w:rPr>
        <w:t xml:space="preserve">  </w:t>
      </w:r>
    </w:p>
    <w:sectPr w:rsidR="00D0610F" w:rsidRPr="004E7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10EA7"/>
    <w:multiLevelType w:val="hybridMultilevel"/>
    <w:tmpl w:val="CD12C0F4"/>
    <w:lvl w:ilvl="0" w:tplc="DA6AC468">
      <w:start w:val="1"/>
      <w:numFmt w:val="lowerLetter"/>
      <w:lvlText w:val="%1)"/>
      <w:lvlJc w:val="left"/>
      <w:pPr>
        <w:ind w:left="720" w:hanging="360"/>
      </w:pPr>
      <w:rPr>
        <w:color w:val="auto"/>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55E03F03"/>
    <w:multiLevelType w:val="hybridMultilevel"/>
    <w:tmpl w:val="5B4CE4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85456241">
    <w:abstractNumId w:val="1"/>
  </w:num>
  <w:num w:numId="2" w16cid:durableId="1675305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cfa0e44f-e2ad-4411-b52b-f3c412122c16"/>
  </w:docVars>
  <w:rsids>
    <w:rsidRoot w:val="002378BD"/>
    <w:rsid w:val="0003134F"/>
    <w:rsid w:val="00033858"/>
    <w:rsid w:val="0011443B"/>
    <w:rsid w:val="0012729F"/>
    <w:rsid w:val="00181A1D"/>
    <w:rsid w:val="00183B13"/>
    <w:rsid w:val="00232815"/>
    <w:rsid w:val="002378BD"/>
    <w:rsid w:val="002C7479"/>
    <w:rsid w:val="00310A74"/>
    <w:rsid w:val="003A690B"/>
    <w:rsid w:val="00413083"/>
    <w:rsid w:val="004A7AEF"/>
    <w:rsid w:val="004B76BD"/>
    <w:rsid w:val="004E74EF"/>
    <w:rsid w:val="005D0F2E"/>
    <w:rsid w:val="00700AA9"/>
    <w:rsid w:val="00704139"/>
    <w:rsid w:val="00780779"/>
    <w:rsid w:val="00783CA0"/>
    <w:rsid w:val="008908ED"/>
    <w:rsid w:val="009163D4"/>
    <w:rsid w:val="0092640B"/>
    <w:rsid w:val="009553A4"/>
    <w:rsid w:val="009B3B52"/>
    <w:rsid w:val="00AB6D48"/>
    <w:rsid w:val="00B65BF4"/>
    <w:rsid w:val="00BB04E5"/>
    <w:rsid w:val="00BD370B"/>
    <w:rsid w:val="00C15B55"/>
    <w:rsid w:val="00C320B6"/>
    <w:rsid w:val="00CA53D4"/>
    <w:rsid w:val="00CA58D3"/>
    <w:rsid w:val="00CB5C44"/>
    <w:rsid w:val="00CC3268"/>
    <w:rsid w:val="00D033C0"/>
    <w:rsid w:val="00D0610F"/>
    <w:rsid w:val="00D414E8"/>
    <w:rsid w:val="00DC583C"/>
    <w:rsid w:val="00E17011"/>
    <w:rsid w:val="00F127ED"/>
    <w:rsid w:val="00F57990"/>
    <w:rsid w:val="00FA65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A92C"/>
  <w15:docId w15:val="{62E6D732-5FD0-4E1E-B1FA-D29B3510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B5C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0610F"/>
    <w:pPr>
      <w:ind w:left="720"/>
      <w:contextualSpacing/>
    </w:pPr>
  </w:style>
  <w:style w:type="paragraph" w:styleId="Sidfot">
    <w:name w:val="footer"/>
    <w:basedOn w:val="Normal"/>
    <w:link w:val="SidfotChar"/>
    <w:rsid w:val="00AB6D48"/>
    <w:pPr>
      <w:tabs>
        <w:tab w:val="center" w:pos="4819"/>
        <w:tab w:val="right" w:pos="9071"/>
      </w:tabs>
      <w:spacing w:after="0" w:line="280" w:lineRule="atLeast"/>
    </w:pPr>
    <w:rPr>
      <w:rFonts w:ascii="Times New Roman" w:eastAsia="Times New Roman" w:hAnsi="Times New Roman" w:cs="Times New Roman"/>
      <w:sz w:val="24"/>
      <w:szCs w:val="20"/>
      <w:lang w:eastAsia="sv-SE"/>
    </w:rPr>
  </w:style>
  <w:style w:type="character" w:customStyle="1" w:styleId="SidfotChar">
    <w:name w:val="Sidfot Char"/>
    <w:basedOn w:val="Standardstycketeckensnitt"/>
    <w:link w:val="Sidfot"/>
    <w:rsid w:val="00AB6D48"/>
    <w:rPr>
      <w:rFonts w:ascii="Times New Roman" w:eastAsia="Times New Roman" w:hAnsi="Times New Roman" w:cs="Times New Roman"/>
      <w:sz w:val="24"/>
      <w:szCs w:val="20"/>
      <w:lang w:eastAsia="sv-SE"/>
    </w:rPr>
  </w:style>
  <w:style w:type="character" w:styleId="Kommentarsreferens">
    <w:name w:val="annotation reference"/>
    <w:basedOn w:val="Standardstycketeckensnitt"/>
    <w:uiPriority w:val="99"/>
    <w:semiHidden/>
    <w:unhideWhenUsed/>
    <w:rsid w:val="00780779"/>
    <w:rPr>
      <w:sz w:val="16"/>
      <w:szCs w:val="16"/>
    </w:rPr>
  </w:style>
  <w:style w:type="paragraph" w:styleId="Kommentarer">
    <w:name w:val="annotation text"/>
    <w:basedOn w:val="Normal"/>
    <w:link w:val="KommentarerChar"/>
    <w:uiPriority w:val="99"/>
    <w:semiHidden/>
    <w:unhideWhenUsed/>
    <w:rsid w:val="00780779"/>
    <w:pPr>
      <w:spacing w:line="240" w:lineRule="auto"/>
    </w:pPr>
    <w:rPr>
      <w:sz w:val="20"/>
      <w:szCs w:val="20"/>
    </w:rPr>
  </w:style>
  <w:style w:type="character" w:customStyle="1" w:styleId="KommentarerChar">
    <w:name w:val="Kommentarer Char"/>
    <w:basedOn w:val="Standardstycketeckensnitt"/>
    <w:link w:val="Kommentarer"/>
    <w:uiPriority w:val="99"/>
    <w:semiHidden/>
    <w:rsid w:val="00780779"/>
    <w:rPr>
      <w:sz w:val="20"/>
      <w:szCs w:val="20"/>
    </w:rPr>
  </w:style>
  <w:style w:type="paragraph" w:styleId="Kommentarsmne">
    <w:name w:val="annotation subject"/>
    <w:basedOn w:val="Kommentarer"/>
    <w:next w:val="Kommentarer"/>
    <w:link w:val="KommentarsmneChar"/>
    <w:uiPriority w:val="99"/>
    <w:semiHidden/>
    <w:unhideWhenUsed/>
    <w:rsid w:val="00780779"/>
    <w:rPr>
      <w:b/>
      <w:bCs/>
    </w:rPr>
  </w:style>
  <w:style w:type="character" w:customStyle="1" w:styleId="KommentarsmneChar">
    <w:name w:val="Kommentarsämne Char"/>
    <w:basedOn w:val="KommentarerChar"/>
    <w:link w:val="Kommentarsmne"/>
    <w:uiPriority w:val="99"/>
    <w:semiHidden/>
    <w:rsid w:val="00780779"/>
    <w:rPr>
      <w:b/>
      <w:bCs/>
      <w:sz w:val="20"/>
      <w:szCs w:val="20"/>
    </w:rPr>
  </w:style>
  <w:style w:type="paragraph" w:styleId="Ballongtext">
    <w:name w:val="Balloon Text"/>
    <w:basedOn w:val="Normal"/>
    <w:link w:val="BallongtextChar"/>
    <w:uiPriority w:val="99"/>
    <w:semiHidden/>
    <w:unhideWhenUsed/>
    <w:rsid w:val="007807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80779"/>
    <w:rPr>
      <w:rFonts w:ascii="Tahoma" w:hAnsi="Tahoma" w:cs="Tahoma"/>
      <w:sz w:val="16"/>
      <w:szCs w:val="16"/>
    </w:rPr>
  </w:style>
  <w:style w:type="character" w:customStyle="1" w:styleId="Rubrik1Char">
    <w:name w:val="Rubrik 1 Char"/>
    <w:basedOn w:val="Standardstycketeckensnitt"/>
    <w:link w:val="Rubrik1"/>
    <w:uiPriority w:val="9"/>
    <w:rsid w:val="00CB5C4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50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619</Words>
  <Characters>3284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Öhman</dc:creator>
  <cp:lastModifiedBy>Olof Lüning</cp:lastModifiedBy>
  <cp:revision>6</cp:revision>
  <cp:lastPrinted>2016-01-29T14:16:00Z</cp:lastPrinted>
  <dcterms:created xsi:type="dcterms:W3CDTF">2016-01-29T13:18:00Z</dcterms:created>
  <dcterms:modified xsi:type="dcterms:W3CDTF">2025-09-23T07:28:00Z</dcterms:modified>
</cp:coreProperties>
</file>